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b/>
          <w:bCs/>
          <w:kern w:val="0"/>
          <w:highlight w:val="yellow"/>
          <w14:ligatures w14:val="none"/>
        </w:rPr>
        <w:t>[Your Organization's Name]</w:t>
      </w:r>
      <w:r w:rsidRPr="00F21CC3">
        <w:rPr>
          <w:rFonts w:ascii="Times New Roman" w:eastAsia="Times New Roman" w:hAnsi="Times New Roman" w:cs="Times New Roman"/>
          <w:kern w:val="0"/>
          <w:highlight w:val="yellow"/>
          <w14:ligatures w14:val="none"/>
        </w:rPr>
        <w:br/>
        <w:t>[Your Address]</w:t>
      </w:r>
      <w:r w:rsidRPr="00F21CC3">
        <w:rPr>
          <w:rFonts w:ascii="Times New Roman" w:eastAsia="Times New Roman" w:hAnsi="Times New Roman" w:cs="Times New Roman"/>
          <w:kern w:val="0"/>
          <w:highlight w:val="yellow"/>
          <w14:ligatures w14:val="none"/>
        </w:rPr>
        <w:br/>
        <w:t>[City, State, ZIP Code]</w:t>
      </w:r>
      <w:r w:rsidRPr="00F21CC3">
        <w:rPr>
          <w:rFonts w:ascii="Times New Roman" w:eastAsia="Times New Roman" w:hAnsi="Times New Roman" w:cs="Times New Roman"/>
          <w:kern w:val="0"/>
          <w:highlight w:val="yellow"/>
          <w14:ligatures w14:val="none"/>
        </w:rPr>
        <w:br/>
        <w:t>[Email Address]</w:t>
      </w:r>
      <w:r w:rsidRPr="00F21CC3">
        <w:rPr>
          <w:rFonts w:ascii="Times New Roman" w:eastAsia="Times New Roman" w:hAnsi="Times New Roman" w:cs="Times New Roman"/>
          <w:kern w:val="0"/>
          <w:highlight w:val="yellow"/>
          <w14:ligatures w14:val="none"/>
        </w:rPr>
        <w:br/>
        <w:t>[Phone Number]</w:t>
      </w:r>
      <w:r w:rsidRPr="00F21CC3">
        <w:rPr>
          <w:rFonts w:ascii="Times New Roman" w:eastAsia="Times New Roman" w:hAnsi="Times New Roman" w:cs="Times New Roman"/>
          <w:kern w:val="0"/>
          <w:highlight w:val="yellow"/>
          <w14:ligatures w14:val="none"/>
        </w:rPr>
        <w:br/>
        <w:t>[Date]</w:t>
      </w: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b/>
          <w:bCs/>
          <w:kern w:val="0"/>
          <w14:ligatures w14:val="none"/>
        </w:rPr>
        <w:t xml:space="preserve">Mayor </w:t>
      </w:r>
      <w:r w:rsidR="00051892">
        <w:rPr>
          <w:rFonts w:ascii="Times New Roman" w:eastAsia="Times New Roman" w:hAnsi="Times New Roman" w:cs="Times New Roman"/>
          <w:b/>
          <w:bCs/>
          <w:kern w:val="0"/>
          <w14:ligatures w14:val="none"/>
        </w:rPr>
        <w:t>Matthew Tuerk</w:t>
      </w:r>
      <w:r w:rsidRPr="00F21CC3">
        <w:rPr>
          <w:rFonts w:ascii="Times New Roman" w:eastAsia="Times New Roman" w:hAnsi="Times New Roman" w:cs="Times New Roman"/>
          <w:kern w:val="0"/>
          <w14:ligatures w14:val="none"/>
        </w:rPr>
        <w:br/>
      </w:r>
      <w:r w:rsidR="00051892">
        <w:rPr>
          <w:rFonts w:ascii="Times New Roman" w:eastAsia="Times New Roman" w:hAnsi="Times New Roman" w:cs="Times New Roman"/>
          <w:kern w:val="0"/>
          <w14:ligatures w14:val="none"/>
        </w:rPr>
        <w:t>Allentown</w:t>
      </w:r>
      <w:r w:rsidRPr="00F21CC3">
        <w:rPr>
          <w:rFonts w:ascii="Times New Roman" w:eastAsia="Times New Roman" w:hAnsi="Times New Roman" w:cs="Times New Roman"/>
          <w:kern w:val="0"/>
          <w14:ligatures w14:val="none"/>
        </w:rPr>
        <w:t xml:space="preserve"> City Hall</w:t>
      </w:r>
      <w:r w:rsidRPr="00F21CC3">
        <w:rPr>
          <w:rFonts w:ascii="Times New Roman" w:eastAsia="Times New Roman" w:hAnsi="Times New Roman" w:cs="Times New Roman"/>
          <w:kern w:val="0"/>
          <w14:ligatures w14:val="none"/>
        </w:rPr>
        <w:br/>
      </w:r>
      <w:r w:rsidR="00051892">
        <w:rPr>
          <w:rFonts w:ascii="Times New Roman" w:eastAsia="Times New Roman" w:hAnsi="Times New Roman" w:cs="Times New Roman"/>
          <w:kern w:val="0"/>
          <w14:ligatures w14:val="none"/>
        </w:rPr>
        <w:t>435 Hamilton Ave.</w:t>
      </w:r>
      <w:r w:rsidRPr="00F21CC3">
        <w:rPr>
          <w:rFonts w:ascii="Times New Roman" w:eastAsia="Times New Roman" w:hAnsi="Times New Roman" w:cs="Times New Roman"/>
          <w:kern w:val="0"/>
          <w14:ligatures w14:val="none"/>
        </w:rPr>
        <w:br/>
      </w:r>
      <w:r w:rsidR="00051892">
        <w:rPr>
          <w:rFonts w:ascii="Times New Roman" w:eastAsia="Times New Roman" w:hAnsi="Times New Roman" w:cs="Times New Roman"/>
          <w:kern w:val="0"/>
          <w14:ligatures w14:val="none"/>
        </w:rPr>
        <w:t>Allentown PA 18101</w:t>
      </w:r>
    </w:p>
    <w:p w:rsidR="00051892" w:rsidRDefault="00051892" w:rsidP="00F21CC3">
      <w:pPr>
        <w:spacing w:before="100" w:beforeAutospacing="1" w:after="100" w:afterAutospacing="1" w:line="240" w:lineRule="auto"/>
        <w:rPr>
          <w:rFonts w:ascii="Times New Roman" w:eastAsia="Times New Roman" w:hAnsi="Times New Roman" w:cs="Times New Roman"/>
          <w:b/>
          <w:bCs/>
          <w:kern w:val="0"/>
          <w14:ligatures w14:val="none"/>
        </w:rPr>
      </w:pP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b/>
          <w:bCs/>
          <w:kern w:val="0"/>
          <w14:ligatures w14:val="none"/>
        </w:rPr>
        <w:t xml:space="preserve">Dear Mayor </w:t>
      </w:r>
      <w:r w:rsidR="001474D1">
        <w:rPr>
          <w:rFonts w:ascii="Times New Roman" w:eastAsia="Times New Roman" w:hAnsi="Times New Roman" w:cs="Times New Roman"/>
          <w:b/>
          <w:bCs/>
          <w:kern w:val="0"/>
          <w14:ligatures w14:val="none"/>
        </w:rPr>
        <w:t>Tuerk</w:t>
      </w:r>
      <w:r w:rsidRPr="00F21CC3">
        <w:rPr>
          <w:rFonts w:ascii="Times New Roman" w:eastAsia="Times New Roman" w:hAnsi="Times New Roman" w:cs="Times New Roman"/>
          <w:b/>
          <w:bCs/>
          <w:kern w:val="0"/>
          <w14:ligatures w14:val="none"/>
        </w:rPr>
        <w:t xml:space="preserve"> and Honorable Members of the City Council,</w:t>
      </w: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 xml:space="preserve">On behalf of </w:t>
      </w:r>
      <w:r w:rsidRPr="00F21CC3">
        <w:rPr>
          <w:rFonts w:ascii="Times New Roman" w:eastAsia="Times New Roman" w:hAnsi="Times New Roman" w:cs="Times New Roman"/>
          <w:kern w:val="0"/>
          <w:highlight w:val="yellow"/>
          <w14:ligatures w14:val="none"/>
        </w:rPr>
        <w:t>[Organization/Group Name],</w:t>
      </w:r>
      <w:r w:rsidRPr="00F21CC3">
        <w:rPr>
          <w:rFonts w:ascii="Times New Roman" w:eastAsia="Times New Roman" w:hAnsi="Times New Roman" w:cs="Times New Roman"/>
          <w:kern w:val="0"/>
          <w14:ligatures w14:val="none"/>
        </w:rPr>
        <w:t xml:space="preserve"> we are writing to express our strong support for the passage of a </w:t>
      </w:r>
      <w:r w:rsidRPr="00F21CC3">
        <w:rPr>
          <w:rFonts w:ascii="Times New Roman" w:eastAsia="Times New Roman" w:hAnsi="Times New Roman" w:cs="Times New Roman"/>
          <w:b/>
          <w:bCs/>
          <w:kern w:val="0"/>
          <w14:ligatures w14:val="none"/>
        </w:rPr>
        <w:t>Welcoming City Policy</w:t>
      </w:r>
      <w:r w:rsidRPr="00F21CC3">
        <w:rPr>
          <w:rFonts w:ascii="Times New Roman" w:eastAsia="Times New Roman" w:hAnsi="Times New Roman" w:cs="Times New Roman"/>
          <w:kern w:val="0"/>
          <w14:ligatures w14:val="none"/>
        </w:rPr>
        <w:t xml:space="preserve"> for </w:t>
      </w:r>
      <w:r w:rsidR="001474D1">
        <w:rPr>
          <w:rFonts w:ascii="Times New Roman" w:eastAsia="Times New Roman" w:hAnsi="Times New Roman" w:cs="Times New Roman"/>
          <w:kern w:val="0"/>
          <w14:ligatures w14:val="none"/>
        </w:rPr>
        <w:t>the city of Allentown.</w:t>
      </w:r>
      <w:r w:rsidRPr="00F21CC3">
        <w:rPr>
          <w:rFonts w:ascii="Times New Roman" w:eastAsia="Times New Roman" w:hAnsi="Times New Roman" w:cs="Times New Roman"/>
          <w:kern w:val="0"/>
          <w14:ligatures w14:val="none"/>
        </w:rPr>
        <w:t xml:space="preserve"> This policy would significantly benefit all residents of our community, fostering a more inclusive, safe, and prosperous environment for everyone. We believe that such a policy aligns with the values of fairness, dignity, and respect that our city stands for, and would provide long-lasting positive impacts on both the social fabric and the economic future of our city.</w:t>
      </w:r>
    </w:p>
    <w:p w:rsidR="00F21CC3" w:rsidRPr="00F21CC3" w:rsidRDefault="00F21CC3" w:rsidP="00F21CC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21CC3">
        <w:rPr>
          <w:rFonts w:ascii="Times New Roman" w:eastAsia="Times New Roman" w:hAnsi="Times New Roman" w:cs="Times New Roman"/>
          <w:b/>
          <w:bCs/>
          <w:kern w:val="0"/>
          <w14:ligatures w14:val="none"/>
        </w:rPr>
        <w:t>Promoting Inclusivity and Unity</w:t>
      </w: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A Welcoming City Policy would send a clear and powerful message that our city is committed to welcoming all people, regardless of their immigration status. In an increasingly diverse world, it is essential that our city fosters an environment where all residents feel safe, supported, and valued. Immigrant communities, in particular, benefit greatly from policies that ensure they are treated fairly and given access to the same opportunities available to all residents. By passing this policy, the city would be actively encouraging a sense of belonging and unity among all its residents, which in turn promotes stronger social cohesion and community well-being.</w:t>
      </w:r>
    </w:p>
    <w:p w:rsidR="00F21CC3" w:rsidRPr="00F21CC3" w:rsidRDefault="00F21CC3" w:rsidP="00F21CC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21CC3">
        <w:rPr>
          <w:rFonts w:ascii="Times New Roman" w:eastAsia="Times New Roman" w:hAnsi="Times New Roman" w:cs="Times New Roman"/>
          <w:b/>
          <w:bCs/>
          <w:kern w:val="0"/>
          <w14:ligatures w14:val="none"/>
        </w:rPr>
        <w:t>Economic Growth and Opportunity</w:t>
      </w:r>
    </w:p>
    <w:p w:rsidR="00F21CC3" w:rsidRPr="001474D1"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One of the most significant benefits of a Welcoming City Policy is the positive impact it can have on local economic growth.</w:t>
      </w:r>
      <w:r w:rsidR="0008759C" w:rsidRPr="001474D1">
        <w:rPr>
          <w:rStyle w:val="FootnoteReference"/>
          <w:rFonts w:ascii="Times New Roman" w:eastAsia="Times New Roman" w:hAnsi="Times New Roman" w:cs="Times New Roman"/>
          <w:kern w:val="0"/>
          <w14:ligatures w14:val="none"/>
        </w:rPr>
        <w:footnoteReference w:id="1"/>
      </w:r>
      <w:r w:rsidRPr="00F21CC3">
        <w:rPr>
          <w:rFonts w:ascii="Times New Roman" w:eastAsia="Times New Roman" w:hAnsi="Times New Roman" w:cs="Times New Roman"/>
          <w:kern w:val="0"/>
          <w14:ligatures w14:val="none"/>
        </w:rPr>
        <w:t xml:space="preserve"> Immigrants contribute to the economy in numerous ways—whether through entrepreneurial ventures, skilled labor, or as consumers.</w:t>
      </w:r>
      <w:r w:rsidR="0008759C" w:rsidRPr="001474D1">
        <w:rPr>
          <w:rStyle w:val="FootnoteReference"/>
          <w:rFonts w:ascii="Times New Roman" w:eastAsia="Times New Roman" w:hAnsi="Times New Roman" w:cs="Times New Roman"/>
          <w:kern w:val="0"/>
          <w14:ligatures w14:val="none"/>
        </w:rPr>
        <w:footnoteReference w:id="2"/>
      </w:r>
      <w:r w:rsidRPr="00F21CC3">
        <w:rPr>
          <w:rFonts w:ascii="Times New Roman" w:eastAsia="Times New Roman" w:hAnsi="Times New Roman" w:cs="Times New Roman"/>
          <w:kern w:val="0"/>
          <w14:ligatures w14:val="none"/>
        </w:rPr>
        <w:t xml:space="preserve"> Numerous studies have shown that cities with inclusive policies attract more businesses and investment, which helps create jobs, boost economic activity, and increase tax revenues. By supporting immigrant</w:t>
      </w:r>
      <w:r w:rsidR="0008759C" w:rsidRPr="001474D1">
        <w:rPr>
          <w:rFonts w:ascii="Times New Roman" w:eastAsia="Times New Roman" w:hAnsi="Times New Roman" w:cs="Times New Roman"/>
          <w:kern w:val="0"/>
          <w14:ligatures w14:val="none"/>
        </w:rPr>
        <w:t xml:space="preserve"> </w:t>
      </w:r>
      <w:r w:rsidRPr="00F21CC3">
        <w:rPr>
          <w:rFonts w:ascii="Times New Roman" w:eastAsia="Times New Roman" w:hAnsi="Times New Roman" w:cs="Times New Roman"/>
          <w:kern w:val="0"/>
          <w14:ligatures w14:val="none"/>
        </w:rPr>
        <w:t>populations and making them feel secure, the city will see tangible economic benefits, from more vibrant local businesses to higher levels of investment.</w:t>
      </w:r>
    </w:p>
    <w:p w:rsidR="00BA048D" w:rsidRPr="00F21CC3" w:rsidRDefault="00BA048D" w:rsidP="00BA048D">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21CC3">
        <w:rPr>
          <w:rFonts w:ascii="Times New Roman" w:eastAsia="Times New Roman" w:hAnsi="Times New Roman" w:cs="Times New Roman"/>
          <w:b/>
          <w:bCs/>
          <w:kern w:val="0"/>
          <w14:ligatures w14:val="none"/>
        </w:rPr>
        <w:lastRenderedPageBreak/>
        <w:t>Attracting and Retaining Talent</w:t>
      </w:r>
    </w:p>
    <w:p w:rsidR="00BA048D" w:rsidRPr="00F21CC3" w:rsidRDefault="00BA048D"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 xml:space="preserve">In addition to the economic and safety benefits, a Welcoming City Policy positions </w:t>
      </w:r>
      <w:r w:rsidR="001474D1">
        <w:rPr>
          <w:rFonts w:ascii="Times New Roman" w:eastAsia="Times New Roman" w:hAnsi="Times New Roman" w:cs="Times New Roman"/>
          <w:kern w:val="0"/>
          <w14:ligatures w14:val="none"/>
        </w:rPr>
        <w:t xml:space="preserve">Allentown </w:t>
      </w:r>
      <w:r w:rsidRPr="00F21CC3">
        <w:rPr>
          <w:rFonts w:ascii="Times New Roman" w:eastAsia="Times New Roman" w:hAnsi="Times New Roman" w:cs="Times New Roman"/>
          <w:kern w:val="0"/>
          <w14:ligatures w14:val="none"/>
        </w:rPr>
        <w:t>as an attractive destination for talent from around the world. Immigrants often bring unique skills, innovative ideas, and entrepreneurial energy to a city.</w:t>
      </w:r>
      <w:r w:rsidRPr="001474D1">
        <w:rPr>
          <w:rStyle w:val="FootnoteReference"/>
          <w:rFonts w:ascii="Times New Roman" w:eastAsia="Times New Roman" w:hAnsi="Times New Roman" w:cs="Times New Roman"/>
          <w:kern w:val="0"/>
          <w14:ligatures w14:val="none"/>
        </w:rPr>
        <w:footnoteReference w:id="3"/>
      </w:r>
      <w:r w:rsidRPr="00F21CC3">
        <w:rPr>
          <w:rFonts w:ascii="Times New Roman" w:eastAsia="Times New Roman" w:hAnsi="Times New Roman" w:cs="Times New Roman"/>
          <w:kern w:val="0"/>
          <w14:ligatures w14:val="none"/>
        </w:rPr>
        <w:t xml:space="preserve"> By passing this policy, the city would make itself more appealing to individuals and families seeking a safe, supportive environment in which to live, work, and thrive. This influx of talent can drive further growth, contribute to cultural richness, and strengthen the city's position in a globalized economy.</w:t>
      </w:r>
      <w:r w:rsidRPr="001474D1">
        <w:rPr>
          <w:rStyle w:val="FootnoteReference"/>
          <w:rFonts w:ascii="Times New Roman" w:eastAsia="Times New Roman" w:hAnsi="Times New Roman" w:cs="Times New Roman"/>
          <w:kern w:val="0"/>
          <w14:ligatures w14:val="none"/>
        </w:rPr>
        <w:footnoteReference w:id="4"/>
      </w:r>
    </w:p>
    <w:p w:rsidR="00F21CC3" w:rsidRPr="00F21CC3" w:rsidRDefault="00F21CC3" w:rsidP="00F21CC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21CC3">
        <w:rPr>
          <w:rFonts w:ascii="Times New Roman" w:eastAsia="Times New Roman" w:hAnsi="Times New Roman" w:cs="Times New Roman"/>
          <w:b/>
          <w:bCs/>
          <w:kern w:val="0"/>
          <w14:ligatures w14:val="none"/>
        </w:rPr>
        <w:t>Enhancing Public Safety</w:t>
      </w:r>
    </w:p>
    <w:p w:rsidR="00F21CC3" w:rsidRPr="001474D1"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A Welcoming City Policy also strengthens public safety by building trust between law enforcement and immigrant communities. When residents feel that their immigration status may put them at risk of discrimination or deportation, they are less likely to cooperate with police, report crimes, or seek help when needed. By ensuring that everyone in the community, regardless of their background, is treated with dignity and respect, the city would foster better communication and cooperation between law enforcement and the public, ultimately making our community safer for all.</w:t>
      </w:r>
    </w:p>
    <w:p w:rsidR="00BA048D" w:rsidRPr="001474D1" w:rsidRDefault="00A424DD" w:rsidP="00A424DD">
      <w:pPr>
        <w:spacing w:before="100" w:beforeAutospacing="1" w:after="100" w:afterAutospacing="1" w:line="240" w:lineRule="auto"/>
        <w:rPr>
          <w:rFonts w:ascii="Times New Roman" w:hAnsi="Times New Roman" w:cs="Times New Roman"/>
        </w:rPr>
      </w:pPr>
      <w:r w:rsidRPr="001474D1">
        <w:rPr>
          <w:rFonts w:ascii="Times New Roman" w:hAnsi="Times New Roman" w:cs="Times New Roman"/>
        </w:rPr>
        <w:t>The American Immigration Council explains, “</w:t>
      </w:r>
      <w:r w:rsidR="00BA048D" w:rsidRPr="001474D1">
        <w:rPr>
          <w:rFonts w:ascii="Times New Roman" w:hAnsi="Times New Roman" w:cs="Times New Roman"/>
        </w:rPr>
        <w:t>A 2017 report found a correlation with lower crime rates and higher economic indicators in counties that do not honor ICE detainers when compared to counties that do.</w:t>
      </w:r>
      <w:r w:rsidR="00BA048D" w:rsidRPr="001474D1">
        <w:rPr>
          <w:rStyle w:val="FootnoteReference"/>
          <w:rFonts w:ascii="Times New Roman" w:hAnsi="Times New Roman" w:cs="Times New Roman"/>
        </w:rPr>
        <w:footnoteReference w:id="5"/>
      </w:r>
      <w:r w:rsidR="001474D1">
        <w:rPr>
          <w:rFonts w:ascii="Times New Roman" w:hAnsi="Times New Roman" w:cs="Times New Roman"/>
        </w:rPr>
        <w:t>”</w:t>
      </w:r>
      <w:r w:rsidR="00BA048D" w:rsidRPr="001474D1">
        <w:rPr>
          <w:rFonts w:ascii="Times New Roman" w:hAnsi="Times New Roman" w:cs="Times New Roman"/>
        </w:rPr>
        <w:t xml:space="preserve"> The analysis revealed that in </w:t>
      </w:r>
      <w:r w:rsidRPr="001474D1">
        <w:rPr>
          <w:rFonts w:ascii="Times New Roman" w:hAnsi="Times New Roman" w:cs="Times New Roman"/>
        </w:rPr>
        <w:t>welcoming policy</w:t>
      </w:r>
      <w:r w:rsidR="00BA048D" w:rsidRPr="001474D1">
        <w:rPr>
          <w:rFonts w:ascii="Times New Roman" w:hAnsi="Times New Roman" w:cs="Times New Roman"/>
        </w:rPr>
        <w:t xml:space="preserve"> counties</w:t>
      </w:r>
      <w:r w:rsidR="001474D1">
        <w:rPr>
          <w:rFonts w:ascii="Times New Roman" w:hAnsi="Times New Roman" w:cs="Times New Roman"/>
        </w:rPr>
        <w:t>;</w:t>
      </w:r>
    </w:p>
    <w:p w:rsidR="00BA048D" w:rsidRPr="001474D1" w:rsidRDefault="00BA048D" w:rsidP="00BA048D">
      <w:pPr>
        <w:pStyle w:val="ListParagraph"/>
        <w:numPr>
          <w:ilvl w:val="0"/>
          <w:numId w:val="1"/>
        </w:numPr>
        <w:spacing w:before="100" w:beforeAutospacing="1" w:after="100" w:afterAutospacing="1" w:line="240" w:lineRule="auto"/>
        <w:rPr>
          <w:rFonts w:ascii="Times New Roman" w:hAnsi="Times New Roman" w:cs="Times New Roman"/>
        </w:rPr>
      </w:pPr>
      <w:r w:rsidRPr="001474D1">
        <w:rPr>
          <w:rFonts w:ascii="Times New Roman" w:hAnsi="Times New Roman" w:cs="Times New Roman"/>
          <w:b/>
          <w:bCs/>
        </w:rPr>
        <w:t>Crime is lower.</w:t>
      </w:r>
      <w:r w:rsidRPr="001474D1">
        <w:rPr>
          <w:rFonts w:ascii="Times New Roman" w:hAnsi="Times New Roman" w:cs="Times New Roman"/>
        </w:rPr>
        <w:t xml:space="preserve"> There are, on average, 35.5 fewer crimes committed per 10,000 people in the </w:t>
      </w:r>
      <w:r w:rsidR="00A424DD" w:rsidRPr="001474D1">
        <w:rPr>
          <w:rFonts w:ascii="Times New Roman" w:hAnsi="Times New Roman" w:cs="Times New Roman"/>
        </w:rPr>
        <w:t>welcoming policy</w:t>
      </w:r>
      <w:r w:rsidRPr="001474D1">
        <w:rPr>
          <w:rFonts w:ascii="Times New Roman" w:hAnsi="Times New Roman" w:cs="Times New Roman"/>
        </w:rPr>
        <w:t xml:space="preserve"> counties compared to counties that </w:t>
      </w:r>
      <w:r w:rsidR="00A424DD" w:rsidRPr="001474D1">
        <w:rPr>
          <w:rFonts w:ascii="Times New Roman" w:hAnsi="Times New Roman" w:cs="Times New Roman"/>
        </w:rPr>
        <w:t>are not</w:t>
      </w:r>
      <w:r w:rsidRPr="001474D1">
        <w:rPr>
          <w:rFonts w:ascii="Times New Roman" w:hAnsi="Times New Roman" w:cs="Times New Roman"/>
        </w:rPr>
        <w:t>.</w:t>
      </w:r>
      <w:r w:rsidRPr="001474D1">
        <w:rPr>
          <w:rStyle w:val="FootnoteReference"/>
          <w:rFonts w:ascii="Times New Roman" w:hAnsi="Times New Roman" w:cs="Times New Roman"/>
        </w:rPr>
        <w:footnoteReference w:id="6"/>
      </w:r>
      <w:r w:rsidRPr="001474D1">
        <w:rPr>
          <w:rFonts w:ascii="Times New Roman" w:hAnsi="Times New Roman" w:cs="Times New Roman"/>
        </w:rPr>
        <w:t xml:space="preserve"> </w:t>
      </w:r>
      <w:r w:rsidRPr="001474D1">
        <w:rPr>
          <w:rFonts w:ascii="Times New Roman" w:hAnsi="Times New Roman" w:cs="Times New Roman"/>
        </w:rPr>
        <w:t>Crime is defined in the report as the total number of violent crimes (murders, rapes, robberies, and assaults) and property crimes (burglaries, larceny, motor vehicle thefts, and arsons) per 10,000 people. Likewise, a 2016 study found no association between crime rates and policing practices.</w:t>
      </w:r>
      <w:r w:rsidRPr="001474D1">
        <w:rPr>
          <w:rStyle w:val="FootnoteReference"/>
          <w:rFonts w:ascii="Times New Roman" w:hAnsi="Times New Roman" w:cs="Times New Roman"/>
        </w:rPr>
        <w:footnoteReference w:id="7"/>
      </w:r>
      <w:r w:rsidRPr="001474D1">
        <w:rPr>
          <w:rFonts w:ascii="Times New Roman" w:hAnsi="Times New Roman" w:cs="Times New Roman"/>
        </w:rPr>
        <w:t xml:space="preserve"> Multiple studies published since 2017 have confirmed these findings or determined that </w:t>
      </w:r>
      <w:r w:rsidRPr="001474D1">
        <w:rPr>
          <w:rFonts w:ascii="Times New Roman" w:hAnsi="Times New Roman" w:cs="Times New Roman"/>
        </w:rPr>
        <w:t xml:space="preserve">welcoming city </w:t>
      </w:r>
      <w:r w:rsidRPr="001474D1">
        <w:rPr>
          <w:rFonts w:ascii="Times New Roman" w:hAnsi="Times New Roman" w:cs="Times New Roman"/>
        </w:rPr>
        <w:t>policies have no measurable effect on crime rates.</w:t>
      </w:r>
      <w:r w:rsidRPr="001474D1">
        <w:rPr>
          <w:rStyle w:val="FootnoteReference"/>
          <w:rFonts w:ascii="Times New Roman" w:hAnsi="Times New Roman" w:cs="Times New Roman"/>
        </w:rPr>
        <w:footnoteReference w:id="8"/>
      </w:r>
      <w:r w:rsidRPr="001474D1">
        <w:rPr>
          <w:rFonts w:ascii="Times New Roman" w:hAnsi="Times New Roman" w:cs="Times New Roman"/>
        </w:rPr>
        <w:t xml:space="preserve"> One study in 2020 even found that sanctuary policies reduce domestic violence against Hispanic women.</w:t>
      </w:r>
      <w:r w:rsidR="00A424DD" w:rsidRPr="001474D1">
        <w:rPr>
          <w:rStyle w:val="FootnoteReference"/>
          <w:rFonts w:ascii="Times New Roman" w:hAnsi="Times New Roman" w:cs="Times New Roman"/>
        </w:rPr>
        <w:footnoteReference w:id="9"/>
      </w:r>
      <w:r w:rsidRPr="001474D1">
        <w:rPr>
          <w:rFonts w:ascii="Times New Roman" w:hAnsi="Times New Roman" w:cs="Times New Roman"/>
        </w:rPr>
        <w:t xml:space="preserve"> No studies have demonstrated a link between sanctuary policies and increased crime. </w:t>
      </w:r>
    </w:p>
    <w:p w:rsidR="00BA048D" w:rsidRPr="001474D1" w:rsidRDefault="00BA048D" w:rsidP="00BA048D">
      <w:pPr>
        <w:pStyle w:val="ListParagraph"/>
        <w:numPr>
          <w:ilvl w:val="0"/>
          <w:numId w:val="1"/>
        </w:numPr>
        <w:spacing w:before="100" w:beforeAutospacing="1" w:after="100" w:afterAutospacing="1" w:line="240" w:lineRule="auto"/>
        <w:rPr>
          <w:rFonts w:ascii="Times New Roman" w:hAnsi="Times New Roman" w:cs="Times New Roman"/>
        </w:rPr>
      </w:pPr>
      <w:r w:rsidRPr="001474D1">
        <w:rPr>
          <w:rFonts w:ascii="Times New Roman" w:hAnsi="Times New Roman" w:cs="Times New Roman"/>
          <w:b/>
          <w:bCs/>
        </w:rPr>
        <w:t>Median household income is higher.</w:t>
      </w:r>
      <w:r w:rsidRPr="001474D1">
        <w:rPr>
          <w:rFonts w:ascii="Times New Roman" w:hAnsi="Times New Roman" w:cs="Times New Roman"/>
        </w:rPr>
        <w:t xml:space="preserve"> On average, median household income is $4,353 higher in the </w:t>
      </w:r>
      <w:r w:rsidR="00A424DD" w:rsidRPr="001474D1">
        <w:rPr>
          <w:rFonts w:ascii="Times New Roman" w:hAnsi="Times New Roman" w:cs="Times New Roman"/>
        </w:rPr>
        <w:t>welcoming policy</w:t>
      </w:r>
      <w:r w:rsidRPr="001474D1">
        <w:rPr>
          <w:rFonts w:ascii="Times New Roman" w:hAnsi="Times New Roman" w:cs="Times New Roman"/>
        </w:rPr>
        <w:t xml:space="preserve"> counties than in counties that </w:t>
      </w:r>
      <w:r w:rsidR="00A424DD" w:rsidRPr="001474D1">
        <w:rPr>
          <w:rFonts w:ascii="Times New Roman" w:hAnsi="Times New Roman" w:cs="Times New Roman"/>
        </w:rPr>
        <w:t>do not have the policy</w:t>
      </w:r>
      <w:r w:rsidRPr="001474D1">
        <w:rPr>
          <w:rFonts w:ascii="Times New Roman" w:hAnsi="Times New Roman" w:cs="Times New Roman"/>
        </w:rPr>
        <w:t xml:space="preserve">. This outcome is not driven by income gains among Latinos at the expense of white residents </w:t>
      </w:r>
      <w:r w:rsidRPr="001474D1">
        <w:rPr>
          <w:rFonts w:ascii="Times New Roman" w:hAnsi="Times New Roman" w:cs="Times New Roman"/>
        </w:rPr>
        <w:lastRenderedPageBreak/>
        <w:t xml:space="preserve">or African Americans. In fact, among white residents, median household income is $2,836 higher in the </w:t>
      </w:r>
      <w:r w:rsidR="001474D1">
        <w:rPr>
          <w:rFonts w:ascii="Times New Roman" w:hAnsi="Times New Roman" w:cs="Times New Roman"/>
        </w:rPr>
        <w:t>welcoming policy</w:t>
      </w:r>
      <w:r w:rsidRPr="001474D1">
        <w:rPr>
          <w:rFonts w:ascii="Times New Roman" w:hAnsi="Times New Roman" w:cs="Times New Roman"/>
        </w:rPr>
        <w:t xml:space="preserve"> counties.</w:t>
      </w:r>
      <w:r w:rsidR="00A424DD" w:rsidRPr="001474D1">
        <w:rPr>
          <w:rStyle w:val="FootnoteReference"/>
          <w:rFonts w:ascii="Times New Roman" w:hAnsi="Times New Roman" w:cs="Times New Roman"/>
        </w:rPr>
        <w:footnoteReference w:id="10"/>
      </w:r>
      <w:r w:rsidRPr="001474D1">
        <w:rPr>
          <w:rFonts w:ascii="Times New Roman" w:hAnsi="Times New Roman" w:cs="Times New Roman"/>
        </w:rPr>
        <w:t xml:space="preserve"> </w:t>
      </w:r>
    </w:p>
    <w:p w:rsidR="00BA048D" w:rsidRPr="001474D1" w:rsidRDefault="00BA048D" w:rsidP="00A424DD">
      <w:pPr>
        <w:pStyle w:val="ListParagraph"/>
        <w:numPr>
          <w:ilvl w:val="0"/>
          <w:numId w:val="1"/>
        </w:numPr>
        <w:spacing w:before="100" w:beforeAutospacing="1" w:after="100" w:afterAutospacing="1" w:line="240" w:lineRule="auto"/>
        <w:rPr>
          <w:rFonts w:ascii="Times New Roman" w:hAnsi="Times New Roman" w:cs="Times New Roman"/>
        </w:rPr>
      </w:pPr>
      <w:r w:rsidRPr="001474D1">
        <w:rPr>
          <w:rFonts w:ascii="Times New Roman" w:hAnsi="Times New Roman" w:cs="Times New Roman"/>
          <w:b/>
          <w:bCs/>
        </w:rPr>
        <w:t>Poverty is lower.</w:t>
      </w:r>
      <w:r w:rsidRPr="001474D1">
        <w:rPr>
          <w:rFonts w:ascii="Times New Roman" w:hAnsi="Times New Roman" w:cs="Times New Roman"/>
        </w:rPr>
        <w:t xml:space="preserve"> The poverty rate is 2.3 percent lower in </w:t>
      </w:r>
      <w:r w:rsidR="001474D1">
        <w:rPr>
          <w:rFonts w:ascii="Times New Roman" w:hAnsi="Times New Roman" w:cs="Times New Roman"/>
        </w:rPr>
        <w:t>welcoming policy</w:t>
      </w:r>
      <w:r w:rsidRPr="001474D1">
        <w:rPr>
          <w:rFonts w:ascii="Times New Roman" w:hAnsi="Times New Roman" w:cs="Times New Roman"/>
        </w:rPr>
        <w:t xml:space="preserve"> counties. The rate of poverty among white residents is 1.4 percent lower in </w:t>
      </w:r>
      <w:r w:rsidR="001474D1">
        <w:rPr>
          <w:rFonts w:ascii="Times New Roman" w:hAnsi="Times New Roman" w:cs="Times New Roman"/>
        </w:rPr>
        <w:t>welcoming policy</w:t>
      </w:r>
      <w:r w:rsidRPr="001474D1">
        <w:rPr>
          <w:rFonts w:ascii="Times New Roman" w:hAnsi="Times New Roman" w:cs="Times New Roman"/>
        </w:rPr>
        <w:t xml:space="preserve"> counties.</w:t>
      </w:r>
      <w:r w:rsidR="00A424DD" w:rsidRPr="001474D1">
        <w:rPr>
          <w:rStyle w:val="FootnoteReference"/>
          <w:rFonts w:ascii="Times New Roman" w:hAnsi="Times New Roman" w:cs="Times New Roman"/>
        </w:rPr>
        <w:footnoteReference w:id="11"/>
      </w:r>
      <w:r w:rsidRPr="001474D1">
        <w:rPr>
          <w:rFonts w:ascii="Times New Roman" w:hAnsi="Times New Roman" w:cs="Times New Roman"/>
        </w:rPr>
        <w:t xml:space="preserve"> </w:t>
      </w:r>
    </w:p>
    <w:p w:rsidR="00BA048D" w:rsidRPr="001474D1" w:rsidRDefault="00BA048D" w:rsidP="001474D1">
      <w:pPr>
        <w:pStyle w:val="ListParagraph"/>
        <w:numPr>
          <w:ilvl w:val="0"/>
          <w:numId w:val="1"/>
        </w:numPr>
        <w:spacing w:before="100" w:beforeAutospacing="1" w:after="100" w:afterAutospacing="1" w:line="240" w:lineRule="auto"/>
        <w:rPr>
          <w:rFonts w:ascii="Times New Roman" w:hAnsi="Times New Roman" w:cs="Times New Roman"/>
        </w:rPr>
      </w:pPr>
      <w:r w:rsidRPr="001474D1">
        <w:rPr>
          <w:rFonts w:ascii="Times New Roman" w:hAnsi="Times New Roman" w:cs="Times New Roman"/>
          <w:b/>
          <w:bCs/>
        </w:rPr>
        <w:t>Reliance on public assistance is lower.</w:t>
      </w:r>
      <w:r w:rsidRPr="001474D1">
        <w:rPr>
          <w:rFonts w:ascii="Times New Roman" w:hAnsi="Times New Roman" w:cs="Times New Roman"/>
        </w:rPr>
        <w:t xml:space="preserve"> The percentage of households receiving Supplemental Nutrition Assistance Program (SNAP) benefits (formerly known as food stamps) is 2.6 percent lower in </w:t>
      </w:r>
      <w:r w:rsidR="001474D1">
        <w:rPr>
          <w:rFonts w:ascii="Times New Roman" w:hAnsi="Times New Roman" w:cs="Times New Roman"/>
        </w:rPr>
        <w:t>welcoming policy</w:t>
      </w:r>
      <w:r w:rsidRPr="001474D1">
        <w:rPr>
          <w:rFonts w:ascii="Times New Roman" w:hAnsi="Times New Roman" w:cs="Times New Roman"/>
        </w:rPr>
        <w:t xml:space="preserve"> counties. The percentage of households that receive Supplemental Security Income (SSI) is 0.9 percent lower. The share of children under 18 who receive public assistance is 4.9 percent lower in </w:t>
      </w:r>
      <w:r w:rsidR="001474D1">
        <w:rPr>
          <w:rFonts w:ascii="Times New Roman" w:hAnsi="Times New Roman" w:cs="Times New Roman"/>
        </w:rPr>
        <w:t>welcoming policy</w:t>
      </w:r>
      <w:r w:rsidRPr="001474D1">
        <w:rPr>
          <w:rFonts w:ascii="Times New Roman" w:hAnsi="Times New Roman" w:cs="Times New Roman"/>
        </w:rPr>
        <w:t xml:space="preserve"> counties.</w:t>
      </w:r>
      <w:r w:rsidR="001474D1" w:rsidRPr="001474D1">
        <w:rPr>
          <w:rStyle w:val="FootnoteReference"/>
          <w:rFonts w:ascii="Times New Roman" w:hAnsi="Times New Roman" w:cs="Times New Roman"/>
        </w:rPr>
        <w:footnoteReference w:id="12"/>
      </w:r>
    </w:p>
    <w:p w:rsidR="001474D1" w:rsidRPr="001474D1" w:rsidRDefault="00BA048D" w:rsidP="00F21CC3">
      <w:pPr>
        <w:pStyle w:val="ListParagraph"/>
        <w:numPr>
          <w:ilvl w:val="0"/>
          <w:numId w:val="1"/>
        </w:numPr>
        <w:spacing w:before="100" w:beforeAutospacing="1" w:after="100" w:afterAutospacing="1" w:line="240" w:lineRule="auto"/>
        <w:rPr>
          <w:rFonts w:ascii="Times New Roman" w:hAnsi="Times New Roman" w:cs="Times New Roman"/>
        </w:rPr>
      </w:pPr>
      <w:r w:rsidRPr="001474D1">
        <w:rPr>
          <w:rFonts w:ascii="Times New Roman" w:hAnsi="Times New Roman" w:cs="Times New Roman"/>
          <w:b/>
          <w:bCs/>
        </w:rPr>
        <w:t>Labor-force participation is higher.</w:t>
      </w:r>
      <w:r w:rsidRPr="001474D1">
        <w:rPr>
          <w:rFonts w:ascii="Times New Roman" w:hAnsi="Times New Roman" w:cs="Times New Roman"/>
        </w:rPr>
        <w:t xml:space="preserve"> On average, the labor-force participation rate (the proportion of the population 16 years and older that is working or actively looking for a job) is 2.5 percent higher in </w:t>
      </w:r>
      <w:r w:rsidR="001474D1" w:rsidRPr="001474D1">
        <w:rPr>
          <w:rFonts w:ascii="Times New Roman" w:hAnsi="Times New Roman" w:cs="Times New Roman"/>
        </w:rPr>
        <w:t>welcoming policy</w:t>
      </w:r>
      <w:r w:rsidRPr="001474D1">
        <w:rPr>
          <w:rFonts w:ascii="Times New Roman" w:hAnsi="Times New Roman" w:cs="Times New Roman"/>
        </w:rPr>
        <w:t xml:space="preserve"> counties. White labor-force participation is also 2.5 percent higher in </w:t>
      </w:r>
      <w:r w:rsidR="001474D1">
        <w:rPr>
          <w:rFonts w:ascii="Times New Roman" w:hAnsi="Times New Roman" w:cs="Times New Roman"/>
        </w:rPr>
        <w:t>welcoming policy</w:t>
      </w:r>
      <w:r w:rsidRPr="001474D1">
        <w:rPr>
          <w:rFonts w:ascii="Times New Roman" w:hAnsi="Times New Roman" w:cs="Times New Roman"/>
        </w:rPr>
        <w:t xml:space="preserve"> counties.</w:t>
      </w:r>
      <w:r w:rsidR="001474D1" w:rsidRPr="001474D1">
        <w:rPr>
          <w:rStyle w:val="FootnoteReference"/>
          <w:rFonts w:ascii="Times New Roman" w:hAnsi="Times New Roman" w:cs="Times New Roman"/>
        </w:rPr>
        <w:footnoteReference w:id="13"/>
      </w:r>
      <w:r w:rsidRPr="001474D1">
        <w:rPr>
          <w:rFonts w:ascii="Times New Roman" w:hAnsi="Times New Roman" w:cs="Times New Roman"/>
        </w:rPr>
        <w:t xml:space="preserve"> </w:t>
      </w:r>
    </w:p>
    <w:p w:rsidR="001474D1" w:rsidRPr="001474D1" w:rsidRDefault="00BA048D" w:rsidP="00F21CC3">
      <w:pPr>
        <w:pStyle w:val="ListParagraph"/>
        <w:numPr>
          <w:ilvl w:val="0"/>
          <w:numId w:val="1"/>
        </w:numPr>
        <w:spacing w:before="100" w:beforeAutospacing="1" w:after="100" w:afterAutospacing="1" w:line="240" w:lineRule="auto"/>
        <w:rPr>
          <w:rFonts w:ascii="Times New Roman" w:hAnsi="Times New Roman" w:cs="Times New Roman"/>
        </w:rPr>
      </w:pPr>
      <w:r w:rsidRPr="001474D1">
        <w:rPr>
          <w:rFonts w:ascii="Times New Roman" w:hAnsi="Times New Roman" w:cs="Times New Roman"/>
          <w:b/>
          <w:bCs/>
        </w:rPr>
        <w:t>Employment-to-population ratio is higher.</w:t>
      </w:r>
      <w:r w:rsidRPr="001474D1">
        <w:rPr>
          <w:rFonts w:ascii="Times New Roman" w:hAnsi="Times New Roman" w:cs="Times New Roman"/>
        </w:rPr>
        <w:t xml:space="preserve"> The employment-to-population ratio is the number of people 16 years and older who are employed, divided by the total number of people 16 years and older. The employment-to-population ratio is 3.1 percent higher in </w:t>
      </w:r>
      <w:r w:rsidR="001474D1" w:rsidRPr="001474D1">
        <w:rPr>
          <w:rFonts w:ascii="Times New Roman" w:hAnsi="Times New Roman" w:cs="Times New Roman"/>
        </w:rPr>
        <w:t>welcoming policy</w:t>
      </w:r>
      <w:r w:rsidRPr="001474D1">
        <w:rPr>
          <w:rFonts w:ascii="Times New Roman" w:hAnsi="Times New Roman" w:cs="Times New Roman"/>
        </w:rPr>
        <w:t xml:space="preserve"> counties. The white employment-to</w:t>
      </w:r>
      <w:r w:rsidR="001474D1" w:rsidRPr="001474D1">
        <w:rPr>
          <w:rFonts w:ascii="Times New Roman" w:hAnsi="Times New Roman" w:cs="Times New Roman"/>
        </w:rPr>
        <w:t xml:space="preserve"> </w:t>
      </w:r>
      <w:r w:rsidRPr="001474D1">
        <w:rPr>
          <w:rFonts w:ascii="Times New Roman" w:hAnsi="Times New Roman" w:cs="Times New Roman"/>
        </w:rPr>
        <w:t xml:space="preserve">population ratio is 3.2 percent higher in </w:t>
      </w:r>
      <w:r w:rsidR="001474D1" w:rsidRPr="001474D1">
        <w:rPr>
          <w:rFonts w:ascii="Times New Roman" w:hAnsi="Times New Roman" w:cs="Times New Roman"/>
        </w:rPr>
        <w:t xml:space="preserve">welcoming policy </w:t>
      </w:r>
      <w:r w:rsidRPr="001474D1">
        <w:rPr>
          <w:rFonts w:ascii="Times New Roman" w:hAnsi="Times New Roman" w:cs="Times New Roman"/>
        </w:rPr>
        <w:t>counties.</w:t>
      </w:r>
      <w:r w:rsidR="001474D1" w:rsidRPr="001474D1">
        <w:rPr>
          <w:rStyle w:val="FootnoteReference"/>
          <w:rFonts w:ascii="Times New Roman" w:hAnsi="Times New Roman" w:cs="Times New Roman"/>
        </w:rPr>
        <w:footnoteReference w:id="14"/>
      </w:r>
      <w:r w:rsidRPr="001474D1">
        <w:rPr>
          <w:rFonts w:ascii="Times New Roman" w:hAnsi="Times New Roman" w:cs="Times New Roman"/>
        </w:rPr>
        <w:t xml:space="preserve"> </w:t>
      </w:r>
    </w:p>
    <w:p w:rsidR="00BA048D" w:rsidRPr="001474D1" w:rsidRDefault="00BA048D" w:rsidP="00F21CC3">
      <w:pPr>
        <w:pStyle w:val="ListParagraph"/>
        <w:numPr>
          <w:ilvl w:val="0"/>
          <w:numId w:val="1"/>
        </w:numPr>
        <w:spacing w:before="100" w:beforeAutospacing="1" w:after="100" w:afterAutospacing="1" w:line="240" w:lineRule="auto"/>
        <w:rPr>
          <w:rFonts w:ascii="Times New Roman" w:hAnsi="Times New Roman" w:cs="Times New Roman"/>
        </w:rPr>
      </w:pPr>
      <w:r w:rsidRPr="001474D1">
        <w:rPr>
          <w:rFonts w:ascii="Times New Roman" w:hAnsi="Times New Roman" w:cs="Times New Roman"/>
          <w:b/>
          <w:bCs/>
        </w:rPr>
        <w:t>Unemployment is lower.</w:t>
      </w:r>
      <w:r w:rsidRPr="001474D1">
        <w:rPr>
          <w:rFonts w:ascii="Times New Roman" w:hAnsi="Times New Roman" w:cs="Times New Roman"/>
        </w:rPr>
        <w:t xml:space="preserve"> The unemployment rate is 1.1 percent lower in </w:t>
      </w:r>
      <w:r w:rsidR="001474D1" w:rsidRPr="001474D1">
        <w:rPr>
          <w:rFonts w:ascii="Times New Roman" w:hAnsi="Times New Roman" w:cs="Times New Roman"/>
        </w:rPr>
        <w:t xml:space="preserve">welcoming policy </w:t>
      </w:r>
      <w:r w:rsidRPr="001474D1">
        <w:rPr>
          <w:rFonts w:ascii="Times New Roman" w:hAnsi="Times New Roman" w:cs="Times New Roman"/>
        </w:rPr>
        <w:t>counties. The white unemployment rate is 0.8 percent lower.</w:t>
      </w:r>
      <w:r w:rsidR="001474D1" w:rsidRPr="001474D1">
        <w:rPr>
          <w:rStyle w:val="FootnoteReference"/>
          <w:rFonts w:ascii="Times New Roman" w:hAnsi="Times New Roman" w:cs="Times New Roman"/>
        </w:rPr>
        <w:footnoteReference w:id="15"/>
      </w:r>
      <w:r w:rsidRPr="001474D1">
        <w:rPr>
          <w:rFonts w:ascii="Times New Roman" w:hAnsi="Times New Roman" w:cs="Times New Roman"/>
        </w:rPr>
        <w:t xml:space="preserve"> Similarly, a 2016 study found no association between unemployment rates and policing practices.</w:t>
      </w:r>
      <w:r w:rsidR="001474D1" w:rsidRPr="001474D1">
        <w:rPr>
          <w:rStyle w:val="FootnoteReference"/>
          <w:rFonts w:ascii="Times New Roman" w:hAnsi="Times New Roman" w:cs="Times New Roman"/>
        </w:rPr>
        <w:footnoteReference w:id="16"/>
      </w:r>
    </w:p>
    <w:p w:rsidR="00F21CC3" w:rsidRPr="001474D1" w:rsidRDefault="00F21CC3" w:rsidP="00F21CC3">
      <w:pPr>
        <w:spacing w:before="100" w:beforeAutospacing="1" w:after="100" w:afterAutospacing="1" w:line="240" w:lineRule="auto"/>
        <w:outlineLvl w:val="2"/>
        <w:rPr>
          <w:rFonts w:ascii="Times New Roman" w:hAnsi="Times New Roman" w:cs="Times New Roman"/>
          <w:b/>
          <w:bCs/>
        </w:rPr>
      </w:pPr>
      <w:r w:rsidRPr="001474D1">
        <w:rPr>
          <w:rFonts w:ascii="Times New Roman" w:hAnsi="Times New Roman" w:cs="Times New Roman"/>
          <w:b/>
          <w:bCs/>
        </w:rPr>
        <w:t xml:space="preserve">Welcoming City </w:t>
      </w:r>
      <w:r w:rsidR="00051892">
        <w:rPr>
          <w:rFonts w:ascii="Times New Roman" w:hAnsi="Times New Roman" w:cs="Times New Roman"/>
          <w:b/>
          <w:bCs/>
        </w:rPr>
        <w:t>P</w:t>
      </w:r>
      <w:r w:rsidRPr="001474D1">
        <w:rPr>
          <w:rFonts w:ascii="Times New Roman" w:hAnsi="Times New Roman" w:cs="Times New Roman"/>
          <w:b/>
          <w:bCs/>
        </w:rPr>
        <w:t xml:space="preserve">olicies are </w:t>
      </w:r>
      <w:r w:rsidR="00051892">
        <w:rPr>
          <w:rFonts w:ascii="Times New Roman" w:hAnsi="Times New Roman" w:cs="Times New Roman"/>
          <w:b/>
          <w:bCs/>
        </w:rPr>
        <w:t>C</w:t>
      </w:r>
      <w:r w:rsidRPr="001474D1">
        <w:rPr>
          <w:rFonts w:ascii="Times New Roman" w:hAnsi="Times New Roman" w:cs="Times New Roman"/>
          <w:b/>
          <w:bCs/>
        </w:rPr>
        <w:t xml:space="preserve">onsistent with </w:t>
      </w:r>
      <w:r w:rsidR="00051892">
        <w:rPr>
          <w:rFonts w:ascii="Times New Roman" w:hAnsi="Times New Roman" w:cs="Times New Roman"/>
          <w:b/>
          <w:bCs/>
        </w:rPr>
        <w:t>F</w:t>
      </w:r>
      <w:r w:rsidRPr="001474D1">
        <w:rPr>
          <w:rFonts w:ascii="Times New Roman" w:hAnsi="Times New Roman" w:cs="Times New Roman"/>
          <w:b/>
          <w:bCs/>
        </w:rPr>
        <w:t xml:space="preserve">ederal </w:t>
      </w:r>
      <w:r w:rsidR="00051892">
        <w:rPr>
          <w:rFonts w:ascii="Times New Roman" w:hAnsi="Times New Roman" w:cs="Times New Roman"/>
          <w:b/>
          <w:bCs/>
        </w:rPr>
        <w:t>L</w:t>
      </w:r>
      <w:r w:rsidRPr="001474D1">
        <w:rPr>
          <w:rFonts w:ascii="Times New Roman" w:hAnsi="Times New Roman" w:cs="Times New Roman"/>
          <w:b/>
          <w:bCs/>
        </w:rPr>
        <w:t>aw</w:t>
      </w:r>
    </w:p>
    <w:p w:rsidR="00F21CC3" w:rsidRPr="001474D1" w:rsidRDefault="00051892" w:rsidP="00F21CC3">
      <w:pPr>
        <w:spacing w:before="100" w:beforeAutospacing="1" w:after="100" w:afterAutospacing="1" w:line="240" w:lineRule="auto"/>
        <w:outlineLvl w:val="2"/>
        <w:rPr>
          <w:rFonts w:ascii="Times New Roman" w:hAnsi="Times New Roman" w:cs="Times New Roman"/>
        </w:rPr>
      </w:pPr>
      <w:r w:rsidRPr="001474D1">
        <w:rPr>
          <w:rFonts w:ascii="Times New Roman" w:hAnsi="Times New Roman" w:cs="Times New Roman"/>
        </w:rPr>
        <w:t xml:space="preserve">The </w:t>
      </w:r>
      <w:r>
        <w:rPr>
          <w:rFonts w:ascii="Times New Roman" w:hAnsi="Times New Roman" w:cs="Times New Roman"/>
        </w:rPr>
        <w:t>Immigrant Legal Resource Center</w:t>
      </w:r>
      <w:r w:rsidRPr="001474D1">
        <w:rPr>
          <w:rFonts w:ascii="Times New Roman" w:hAnsi="Times New Roman" w:cs="Times New Roman"/>
        </w:rPr>
        <w:t xml:space="preserve"> explains, </w:t>
      </w:r>
      <w:r>
        <w:rPr>
          <w:rFonts w:ascii="Times New Roman" w:hAnsi="Times New Roman" w:cs="Times New Roman"/>
        </w:rPr>
        <w:t>“n</w:t>
      </w:r>
      <w:r w:rsidR="00F21CC3" w:rsidRPr="001474D1">
        <w:rPr>
          <w:rFonts w:ascii="Times New Roman" w:hAnsi="Times New Roman" w:cs="Times New Roman"/>
        </w:rPr>
        <w:t>othing in federal law requires localities to enforce the Immigration and Nationality Act and regulations. To the contrary, immigration regulation and enforcement are federal functions.</w:t>
      </w:r>
      <w:r w:rsidR="00F21CC3" w:rsidRPr="001474D1">
        <w:rPr>
          <w:rStyle w:val="FootnoteReference"/>
          <w:rFonts w:ascii="Times New Roman" w:hAnsi="Times New Roman" w:cs="Times New Roman"/>
        </w:rPr>
        <w:footnoteReference w:id="17"/>
      </w:r>
      <w:r w:rsidR="00F21CC3" w:rsidRPr="001474D1">
        <w:rPr>
          <w:rFonts w:ascii="Times New Roman" w:hAnsi="Times New Roman" w:cs="Times New Roman"/>
        </w:rPr>
        <w:t xml:space="preserve"> The Tenth Amendment precludes federal government from coercing state or local governments to use their resources to enforce a federal regulatory program, like immigration.</w:t>
      </w:r>
      <w:r w:rsidR="00F21CC3" w:rsidRPr="001474D1">
        <w:rPr>
          <w:rStyle w:val="FootnoteReference"/>
          <w:rFonts w:ascii="Times New Roman" w:hAnsi="Times New Roman" w:cs="Times New Roman"/>
        </w:rPr>
        <w:footnoteReference w:id="18"/>
      </w:r>
      <w:r w:rsidR="00F21CC3" w:rsidRPr="001474D1">
        <w:rPr>
          <w:rFonts w:ascii="Times New Roman" w:hAnsi="Times New Roman" w:cs="Times New Roman"/>
        </w:rPr>
        <w:t xml:space="preserve"> Policies that limit or prohibit compliance with immigration detainers and requests for notice of release dates do not violate 8 USC § 1373. Immigration detainers are explicitly not mandatory. Electing not to respond to them is entirely within the discretion of local law enforcement.</w:t>
      </w:r>
      <w:r w:rsidR="00F21CC3" w:rsidRPr="001474D1">
        <w:rPr>
          <w:rStyle w:val="FootnoteReference"/>
          <w:rFonts w:ascii="Times New Roman" w:hAnsi="Times New Roman" w:cs="Times New Roman"/>
        </w:rPr>
        <w:footnoteReference w:id="19"/>
      </w:r>
      <w:r w:rsidR="00F21CC3" w:rsidRPr="001474D1">
        <w:rPr>
          <w:rFonts w:ascii="Times New Roman" w:hAnsi="Times New Roman" w:cs="Times New Roman"/>
        </w:rPr>
        <w:t xml:space="preserve"> Moreover, multiple federal courts have found detention by local agencies based on ICE detainers to be unconstitutional.</w:t>
      </w:r>
      <w:r w:rsidR="0008759C" w:rsidRPr="001474D1">
        <w:rPr>
          <w:rStyle w:val="FootnoteReference"/>
          <w:rFonts w:ascii="Times New Roman" w:hAnsi="Times New Roman" w:cs="Times New Roman"/>
        </w:rPr>
        <w:footnoteReference w:id="20"/>
      </w:r>
      <w:r w:rsidR="00F21CC3" w:rsidRPr="001474D1">
        <w:rPr>
          <w:rFonts w:ascii="Times New Roman" w:hAnsi="Times New Roman" w:cs="Times New Roman"/>
        </w:rPr>
        <w:t xml:space="preserve"> The federal </w:t>
      </w:r>
      <w:r w:rsidR="00F21CC3" w:rsidRPr="001474D1">
        <w:rPr>
          <w:rFonts w:ascii="Times New Roman" w:hAnsi="Times New Roman" w:cs="Times New Roman"/>
        </w:rPr>
        <w:lastRenderedPageBreak/>
        <w:t>government cannot commandeer state and local resources, nor can it require actions in violation of the Constitution</w:t>
      </w:r>
      <w:r w:rsidR="00F21CC3" w:rsidRPr="001474D1">
        <w:rPr>
          <w:rFonts w:ascii="Times New Roman" w:hAnsi="Times New Roman" w:cs="Times New Roman"/>
        </w:rPr>
        <w:t>.</w:t>
      </w:r>
      <w:r>
        <w:rPr>
          <w:rFonts w:ascii="Times New Roman" w:hAnsi="Times New Roman" w:cs="Times New Roman"/>
        </w:rPr>
        <w:t>”</w:t>
      </w:r>
    </w:p>
    <w:p w:rsidR="00F21CC3" w:rsidRPr="00F21CC3" w:rsidRDefault="00F21CC3" w:rsidP="00F21CC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21CC3">
        <w:rPr>
          <w:rFonts w:ascii="Times New Roman" w:eastAsia="Times New Roman" w:hAnsi="Times New Roman" w:cs="Times New Roman"/>
          <w:b/>
          <w:bCs/>
          <w:kern w:val="0"/>
          <w14:ligatures w14:val="none"/>
        </w:rPr>
        <w:t>Upholding Human Rights and Dignity</w:t>
      </w: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Finally, adopting a Welcoming City Policy reflects our city's commitment to upholding human rights and ensuring that all individuals are treated with dignity and respect. Immigrants, like all residents, deserve to live without fear of discrimination or exclusion. This policy is an important step toward ensuring that our community remains just and equitable for all people, regardless of their background or immigration status.</w:t>
      </w:r>
    </w:p>
    <w:p w:rsidR="00F21CC3" w:rsidRPr="00F21CC3" w:rsidRDefault="00F21CC3" w:rsidP="00F21CC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F21CC3">
        <w:rPr>
          <w:rFonts w:ascii="Times New Roman" w:eastAsia="Times New Roman" w:hAnsi="Times New Roman" w:cs="Times New Roman"/>
          <w:b/>
          <w:bCs/>
          <w:kern w:val="0"/>
          <w14:ligatures w14:val="none"/>
        </w:rPr>
        <w:t>Conclusion</w:t>
      </w: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In conclusion</w:t>
      </w:r>
      <w:r w:rsidRPr="00F21CC3">
        <w:rPr>
          <w:rFonts w:ascii="Times New Roman" w:eastAsia="Times New Roman" w:hAnsi="Times New Roman" w:cs="Times New Roman"/>
          <w:kern w:val="0"/>
          <w:highlight w:val="yellow"/>
          <w14:ligatures w14:val="none"/>
        </w:rPr>
        <w:t>, [Organization/Group Name]</w:t>
      </w:r>
      <w:r w:rsidRPr="00F21CC3">
        <w:rPr>
          <w:rFonts w:ascii="Times New Roman" w:eastAsia="Times New Roman" w:hAnsi="Times New Roman" w:cs="Times New Roman"/>
          <w:kern w:val="0"/>
          <w14:ligatures w14:val="none"/>
        </w:rPr>
        <w:t xml:space="preserve"> strongly encourages the mayor and city council to pass a Welcoming City Policy. By doing so, </w:t>
      </w:r>
      <w:r w:rsidR="00051892">
        <w:rPr>
          <w:rFonts w:ascii="Times New Roman" w:eastAsia="Times New Roman" w:hAnsi="Times New Roman" w:cs="Times New Roman"/>
          <w:kern w:val="0"/>
          <w14:ligatures w14:val="none"/>
        </w:rPr>
        <w:t xml:space="preserve">Allentown </w:t>
      </w:r>
      <w:r w:rsidRPr="00F21CC3">
        <w:rPr>
          <w:rFonts w:ascii="Times New Roman" w:eastAsia="Times New Roman" w:hAnsi="Times New Roman" w:cs="Times New Roman"/>
          <w:kern w:val="0"/>
          <w14:ligatures w14:val="none"/>
        </w:rPr>
        <w:t>would not only promote inclusivity and unity but also strengthen its economy, improve public safety, and enhance its global appeal. This policy would demonstrate our city's commitment to the values of fairness, respect, and opportunity, making it a stronger, safer, and more prosperous place for everyone.</w:t>
      </w: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Thank you for your time and consideration. We look forward to the opportunity to support you in this important initiative.</w:t>
      </w:r>
    </w:p>
    <w:p w:rsidR="00F21CC3" w:rsidRPr="00F21CC3" w:rsidRDefault="00F21CC3" w:rsidP="00F21CC3">
      <w:pPr>
        <w:spacing w:before="100" w:beforeAutospacing="1" w:after="100" w:afterAutospacing="1" w:line="240" w:lineRule="auto"/>
        <w:rPr>
          <w:rFonts w:ascii="Times New Roman" w:eastAsia="Times New Roman" w:hAnsi="Times New Roman" w:cs="Times New Roman"/>
          <w:kern w:val="0"/>
          <w14:ligatures w14:val="none"/>
        </w:rPr>
      </w:pPr>
      <w:r w:rsidRPr="00F21CC3">
        <w:rPr>
          <w:rFonts w:ascii="Times New Roman" w:eastAsia="Times New Roman" w:hAnsi="Times New Roman" w:cs="Times New Roman"/>
          <w:kern w:val="0"/>
          <w14:ligatures w14:val="none"/>
        </w:rPr>
        <w:t>Sincerely,</w:t>
      </w:r>
      <w:r w:rsidRPr="00F21CC3">
        <w:rPr>
          <w:rFonts w:ascii="Times New Roman" w:eastAsia="Times New Roman" w:hAnsi="Times New Roman" w:cs="Times New Roman"/>
          <w:kern w:val="0"/>
          <w14:ligatures w14:val="none"/>
        </w:rPr>
        <w:br/>
      </w:r>
      <w:r w:rsidRPr="00F21CC3">
        <w:rPr>
          <w:rFonts w:ascii="Times New Roman" w:eastAsia="Times New Roman" w:hAnsi="Times New Roman" w:cs="Times New Roman"/>
          <w:kern w:val="0"/>
          <w:highlight w:val="yellow"/>
          <w14:ligatures w14:val="none"/>
        </w:rPr>
        <w:t>[Your Full Name]</w:t>
      </w:r>
      <w:r w:rsidRPr="00F21CC3">
        <w:rPr>
          <w:rFonts w:ascii="Times New Roman" w:eastAsia="Times New Roman" w:hAnsi="Times New Roman" w:cs="Times New Roman"/>
          <w:kern w:val="0"/>
          <w:highlight w:val="yellow"/>
          <w14:ligatures w14:val="none"/>
        </w:rPr>
        <w:br/>
        <w:t>[Your Title, if applicable]</w:t>
      </w:r>
      <w:r w:rsidRPr="00F21CC3">
        <w:rPr>
          <w:rFonts w:ascii="Times New Roman" w:eastAsia="Times New Roman" w:hAnsi="Times New Roman" w:cs="Times New Roman"/>
          <w:kern w:val="0"/>
          <w:highlight w:val="yellow"/>
          <w14:ligatures w14:val="none"/>
        </w:rPr>
        <w:br/>
        <w:t>[Organization/Group Name]</w:t>
      </w:r>
      <w:r w:rsidRPr="00F21CC3">
        <w:rPr>
          <w:rFonts w:ascii="Times New Roman" w:eastAsia="Times New Roman" w:hAnsi="Times New Roman" w:cs="Times New Roman"/>
          <w:kern w:val="0"/>
          <w:highlight w:val="yellow"/>
          <w14:ligatures w14:val="none"/>
        </w:rPr>
        <w:br/>
        <w:t>[Contact Information]</w:t>
      </w:r>
    </w:p>
    <w:p w:rsidR="00F21CC3" w:rsidRPr="00F21CC3" w:rsidRDefault="00F21CC3" w:rsidP="00F21CC3"/>
    <w:sectPr w:rsidR="00F21CC3" w:rsidRPr="00F21C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388C" w:rsidRDefault="008C388C" w:rsidP="00F21CC3">
      <w:pPr>
        <w:spacing w:after="0" w:line="240" w:lineRule="auto"/>
      </w:pPr>
      <w:r>
        <w:separator/>
      </w:r>
    </w:p>
  </w:endnote>
  <w:endnote w:type="continuationSeparator" w:id="0">
    <w:p w:rsidR="008C388C" w:rsidRDefault="008C388C" w:rsidP="00F2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388C" w:rsidRDefault="008C388C" w:rsidP="00F21CC3">
      <w:pPr>
        <w:spacing w:after="0" w:line="240" w:lineRule="auto"/>
      </w:pPr>
      <w:r>
        <w:separator/>
      </w:r>
    </w:p>
  </w:footnote>
  <w:footnote w:type="continuationSeparator" w:id="0">
    <w:p w:rsidR="008C388C" w:rsidRDefault="008C388C" w:rsidP="00F21CC3">
      <w:pPr>
        <w:spacing w:after="0" w:line="240" w:lineRule="auto"/>
      </w:pPr>
      <w:r>
        <w:continuationSeparator/>
      </w:r>
    </w:p>
  </w:footnote>
  <w:footnote w:id="1">
    <w:p w:rsidR="0008759C" w:rsidRPr="00051892" w:rsidRDefault="0008759C">
      <w:pPr>
        <w:pStyle w:val="FootnoteText"/>
        <w:rPr>
          <w:i/>
          <w:iCs/>
        </w:rPr>
      </w:pPr>
      <w:r w:rsidRPr="00051892">
        <w:rPr>
          <w:rStyle w:val="FootnoteReference"/>
          <w:i/>
          <w:iCs/>
        </w:rPr>
        <w:footnoteRef/>
      </w:r>
      <w:r w:rsidRPr="00051892">
        <w:rPr>
          <w:i/>
          <w:iCs/>
        </w:rPr>
        <w:t xml:space="preserve"> </w:t>
      </w:r>
      <w:r w:rsidRPr="00051892">
        <w:rPr>
          <w:rFonts w:ascii="Calibri" w:hAnsi="Calibri" w:cs="Calibri"/>
          <w:i/>
          <w:iCs/>
          <w:color w:val="000000"/>
          <w:sz w:val="16"/>
          <w:szCs w:val="16"/>
        </w:rPr>
        <w:t>https://map.americanimmigrationcouncil.org/locations/pennsylvania/#</w:t>
      </w:r>
    </w:p>
  </w:footnote>
  <w:footnote w:id="2">
    <w:p w:rsidR="0008759C" w:rsidRDefault="0008759C">
      <w:pPr>
        <w:pStyle w:val="FootnoteText"/>
      </w:pPr>
      <w:r w:rsidRPr="00051892">
        <w:rPr>
          <w:rStyle w:val="FootnoteReference"/>
          <w:i/>
          <w:iCs/>
        </w:rPr>
        <w:footnoteRef/>
      </w:r>
      <w:r w:rsidRPr="00051892">
        <w:rPr>
          <w:i/>
          <w:iCs/>
        </w:rPr>
        <w:t xml:space="preserve"> </w:t>
      </w:r>
      <w:r w:rsidRPr="00051892">
        <w:rPr>
          <w:rFonts w:ascii="Calibri" w:hAnsi="Calibri" w:cs="Calibri"/>
          <w:i/>
          <w:iCs/>
          <w:color w:val="000000"/>
          <w:sz w:val="16"/>
          <w:szCs w:val="16"/>
        </w:rPr>
        <w:t>https://www.washingtonpost.com/opinions/2024/02/14/migrants-states-labor-work-permit/</w:t>
      </w:r>
    </w:p>
  </w:footnote>
  <w:footnote w:id="3">
    <w:p w:rsidR="00BA048D" w:rsidRPr="00051892" w:rsidRDefault="00BA048D" w:rsidP="00BA048D">
      <w:pPr>
        <w:pStyle w:val="FootnoteText"/>
        <w:rPr>
          <w:i/>
          <w:iCs/>
          <w:color w:val="000000" w:themeColor="text1"/>
          <w:sz w:val="16"/>
          <w:szCs w:val="16"/>
        </w:rPr>
      </w:pPr>
      <w:r w:rsidRPr="00051892">
        <w:rPr>
          <w:rStyle w:val="FootnoteReference"/>
          <w:i/>
          <w:iCs/>
          <w:color w:val="000000" w:themeColor="text1"/>
          <w:sz w:val="16"/>
          <w:szCs w:val="16"/>
        </w:rPr>
        <w:footnoteRef/>
      </w:r>
      <w:r w:rsidRPr="00051892">
        <w:rPr>
          <w:i/>
          <w:iCs/>
          <w:color w:val="000000" w:themeColor="text1"/>
          <w:sz w:val="16"/>
          <w:szCs w:val="16"/>
        </w:rPr>
        <w:t xml:space="preserve"> </w:t>
      </w:r>
      <w:r w:rsidRPr="00051892">
        <w:rPr>
          <w:rFonts w:ascii="Calibri" w:hAnsi="Calibri" w:cs="Calibri"/>
          <w:i/>
          <w:iCs/>
          <w:color w:val="000000" w:themeColor="text1"/>
          <w:sz w:val="16"/>
          <w:szCs w:val="16"/>
        </w:rPr>
        <w:t>https://www.npr.org/2021/12/22/1063104262/immigrant-workers-us-economy-key-jobs</w:t>
      </w:r>
    </w:p>
  </w:footnote>
  <w:footnote w:id="4">
    <w:p w:rsidR="00BA048D" w:rsidRPr="00051892" w:rsidRDefault="00BA048D" w:rsidP="00BA048D">
      <w:pPr>
        <w:pStyle w:val="FootnoteText"/>
        <w:rPr>
          <w:i/>
          <w:iCs/>
          <w:color w:val="000000" w:themeColor="text1"/>
          <w:sz w:val="16"/>
          <w:szCs w:val="16"/>
        </w:rPr>
      </w:pPr>
      <w:r w:rsidRPr="00051892">
        <w:rPr>
          <w:rStyle w:val="FootnoteReference"/>
          <w:i/>
          <w:iCs/>
          <w:color w:val="000000" w:themeColor="text1"/>
          <w:sz w:val="16"/>
          <w:szCs w:val="16"/>
        </w:rPr>
        <w:footnoteRef/>
      </w:r>
      <w:r w:rsidRPr="00051892">
        <w:rPr>
          <w:i/>
          <w:iCs/>
          <w:color w:val="000000" w:themeColor="text1"/>
          <w:sz w:val="16"/>
          <w:szCs w:val="16"/>
        </w:rPr>
        <w:t xml:space="preserve"> </w:t>
      </w:r>
      <w:r w:rsidRPr="00051892">
        <w:rPr>
          <w:rFonts w:ascii="Calibri" w:hAnsi="Calibri" w:cs="Calibri"/>
          <w:i/>
          <w:iCs/>
          <w:color w:val="000000" w:themeColor="text1"/>
          <w:sz w:val="16"/>
          <w:szCs w:val="16"/>
        </w:rPr>
        <w:t>https://www.nytimes.com/2024/02/29/business/economy/immigrants-labor.html?smid=nytcore-ios-share&amp;referringSource=articleShare</w:t>
      </w:r>
    </w:p>
  </w:footnote>
  <w:footnote w:id="5">
    <w:p w:rsidR="00BA048D" w:rsidRPr="00051892" w:rsidRDefault="00BA048D">
      <w:pPr>
        <w:pStyle w:val="FootnoteText"/>
        <w:rPr>
          <w:i/>
          <w:iCs/>
          <w:color w:val="000000" w:themeColor="text1"/>
          <w:sz w:val="16"/>
          <w:szCs w:val="16"/>
        </w:rPr>
      </w:pPr>
      <w:r w:rsidRPr="00051892">
        <w:rPr>
          <w:rStyle w:val="FootnoteReference"/>
          <w:i/>
          <w:iCs/>
          <w:color w:val="000000" w:themeColor="text1"/>
          <w:sz w:val="16"/>
          <w:szCs w:val="16"/>
        </w:rPr>
        <w:footnoteRef/>
      </w:r>
      <w:r w:rsidRPr="00051892">
        <w:rPr>
          <w:i/>
          <w:iCs/>
          <w:color w:val="000000" w:themeColor="text1"/>
          <w:sz w:val="16"/>
          <w:szCs w:val="16"/>
        </w:rPr>
        <w:t xml:space="preserve"> </w:t>
      </w:r>
      <w:r w:rsidRPr="00051892">
        <w:rPr>
          <w:i/>
          <w:iCs/>
          <w:color w:val="000000" w:themeColor="text1"/>
          <w:sz w:val="16"/>
          <w:szCs w:val="16"/>
        </w:rPr>
        <w:t>https://www.americanprogress.org/issues/immigration/reports/2017/01/26/297366/the-effects-ofsanctuary-policies-on-crime-and-the-economy/.</w:t>
      </w:r>
    </w:p>
  </w:footnote>
  <w:footnote w:id="6">
    <w:p w:rsidR="00BA048D" w:rsidRPr="00051892" w:rsidRDefault="00BA048D">
      <w:pPr>
        <w:pStyle w:val="FootnoteText"/>
        <w:rPr>
          <w:i/>
          <w:iCs/>
          <w:color w:val="000000" w:themeColor="text1"/>
          <w:sz w:val="16"/>
          <w:szCs w:val="16"/>
        </w:rPr>
      </w:pPr>
      <w:r w:rsidRPr="00051892">
        <w:rPr>
          <w:rStyle w:val="FootnoteReference"/>
          <w:i/>
          <w:iCs/>
          <w:color w:val="000000" w:themeColor="text1"/>
          <w:sz w:val="16"/>
          <w:szCs w:val="16"/>
        </w:rPr>
        <w:footnoteRef/>
      </w:r>
      <w:r w:rsidRPr="00051892">
        <w:rPr>
          <w:i/>
          <w:iCs/>
          <w:color w:val="000000" w:themeColor="text1"/>
          <w:sz w:val="16"/>
          <w:szCs w:val="16"/>
        </w:rPr>
        <w:t xml:space="preserve"> </w:t>
      </w:r>
      <w:r w:rsidRPr="00051892">
        <w:rPr>
          <w:i/>
          <w:iCs/>
          <w:color w:val="000000" w:themeColor="text1"/>
          <w:sz w:val="16"/>
          <w:szCs w:val="16"/>
        </w:rPr>
        <w:t>Ibid.</w:t>
      </w:r>
    </w:p>
  </w:footnote>
  <w:footnote w:id="7">
    <w:p w:rsidR="00BA048D" w:rsidRPr="00051892" w:rsidRDefault="00BA048D">
      <w:pPr>
        <w:pStyle w:val="FootnoteText"/>
        <w:rPr>
          <w:i/>
          <w:iCs/>
          <w:color w:val="000000" w:themeColor="text1"/>
          <w:sz w:val="16"/>
          <w:szCs w:val="16"/>
        </w:rPr>
      </w:pPr>
      <w:r w:rsidRPr="00051892">
        <w:rPr>
          <w:rStyle w:val="FootnoteReference"/>
          <w:i/>
          <w:iCs/>
          <w:color w:val="000000" w:themeColor="text1"/>
          <w:sz w:val="16"/>
          <w:szCs w:val="16"/>
        </w:rPr>
        <w:footnoteRef/>
      </w:r>
      <w:r w:rsidRPr="00051892">
        <w:rPr>
          <w:i/>
          <w:iCs/>
          <w:color w:val="000000" w:themeColor="text1"/>
          <w:sz w:val="16"/>
          <w:szCs w:val="16"/>
        </w:rPr>
        <w:t xml:space="preserve"> </w:t>
      </w:r>
      <w:r w:rsidRPr="00051892">
        <w:rPr>
          <w:i/>
          <w:iCs/>
          <w:color w:val="000000" w:themeColor="text1"/>
          <w:sz w:val="16"/>
          <w:szCs w:val="16"/>
        </w:rPr>
        <w:t xml:space="preserve">Doris Marie Provine, Monica W. </w:t>
      </w:r>
      <w:proofErr w:type="spellStart"/>
      <w:r w:rsidRPr="00051892">
        <w:rPr>
          <w:i/>
          <w:iCs/>
          <w:color w:val="000000" w:themeColor="text1"/>
          <w:sz w:val="16"/>
          <w:szCs w:val="16"/>
        </w:rPr>
        <w:t>Varsanyi</w:t>
      </w:r>
      <w:proofErr w:type="spellEnd"/>
      <w:r w:rsidRPr="00051892">
        <w:rPr>
          <w:i/>
          <w:iCs/>
          <w:color w:val="000000" w:themeColor="text1"/>
          <w:sz w:val="16"/>
          <w:szCs w:val="16"/>
        </w:rPr>
        <w:t>, Paul G. Lewis, and Scott H. Decker, Policing Immigrants: Local Law Enforcement on the Front Lines (Chicago, IL: The University of Chicago Press, 2016), 76.</w:t>
      </w:r>
    </w:p>
  </w:footnote>
  <w:footnote w:id="8">
    <w:p w:rsidR="00BA048D" w:rsidRPr="00051892" w:rsidRDefault="00BA048D">
      <w:pPr>
        <w:pStyle w:val="FootnoteText"/>
        <w:rPr>
          <w:i/>
          <w:iCs/>
          <w:color w:val="000000" w:themeColor="text1"/>
          <w:sz w:val="16"/>
          <w:szCs w:val="16"/>
        </w:rPr>
      </w:pPr>
      <w:r w:rsidRPr="00051892">
        <w:rPr>
          <w:rStyle w:val="FootnoteReference"/>
          <w:i/>
          <w:iCs/>
          <w:color w:val="000000" w:themeColor="text1"/>
          <w:sz w:val="16"/>
          <w:szCs w:val="16"/>
        </w:rPr>
        <w:footnoteRef/>
      </w:r>
      <w:r w:rsidRPr="00051892">
        <w:rPr>
          <w:i/>
          <w:iCs/>
          <w:color w:val="000000" w:themeColor="text1"/>
          <w:sz w:val="16"/>
          <w:szCs w:val="16"/>
        </w:rPr>
        <w:t xml:space="preserve"> </w:t>
      </w:r>
      <w:hyperlink r:id="rId1" w:history="1">
        <w:r w:rsidRPr="00051892">
          <w:rPr>
            <w:rStyle w:val="Hyperlink"/>
            <w:i/>
            <w:iCs/>
            <w:color w:val="000000" w:themeColor="text1"/>
            <w:sz w:val="16"/>
            <w:szCs w:val="16"/>
          </w:rPr>
          <w:t>https://sociology.unc.edu/files/2018/01/2017SocComp-ProvidingSanctuary-or-Fostering-Crime-A-Review-of-the-Research-on-Sanctuary-Cities-and-Crime.pdf</w:t>
        </w:r>
      </w:hyperlink>
      <w:r w:rsidRPr="00051892">
        <w:rPr>
          <w:i/>
          <w:iCs/>
          <w:color w:val="000000" w:themeColor="text1"/>
          <w:sz w:val="16"/>
          <w:szCs w:val="16"/>
        </w:rPr>
        <w:t xml:space="preserve">; </w:t>
      </w:r>
      <w:hyperlink r:id="rId2" w:history="1">
        <w:r w:rsidR="00A424DD" w:rsidRPr="00051892">
          <w:rPr>
            <w:rStyle w:val="Hyperlink"/>
            <w:i/>
            <w:iCs/>
            <w:color w:val="000000" w:themeColor="text1"/>
            <w:sz w:val="16"/>
            <w:szCs w:val="16"/>
          </w:rPr>
          <w:t>https://www.cato.org/blog/sanctuary-jurisdictionsflorida-do-not-have-higher-crime-rates</w:t>
        </w:r>
      </w:hyperlink>
      <w:r w:rsidR="00A424DD" w:rsidRPr="00051892">
        <w:rPr>
          <w:i/>
          <w:iCs/>
          <w:color w:val="000000" w:themeColor="text1"/>
          <w:sz w:val="16"/>
          <w:szCs w:val="16"/>
        </w:rPr>
        <w:t xml:space="preserve"> </w:t>
      </w:r>
    </w:p>
  </w:footnote>
  <w:footnote w:id="9">
    <w:p w:rsidR="00A424DD" w:rsidRDefault="00A424DD">
      <w:pPr>
        <w:pStyle w:val="FootnoteText"/>
      </w:pPr>
      <w:r w:rsidRPr="00051892">
        <w:rPr>
          <w:rStyle w:val="FootnoteReference"/>
          <w:i/>
          <w:iCs/>
          <w:color w:val="000000" w:themeColor="text1"/>
          <w:sz w:val="16"/>
          <w:szCs w:val="16"/>
        </w:rPr>
        <w:footnoteRef/>
      </w:r>
      <w:r w:rsidRPr="00051892">
        <w:rPr>
          <w:i/>
          <w:iCs/>
          <w:color w:val="000000" w:themeColor="text1"/>
          <w:sz w:val="16"/>
          <w:szCs w:val="16"/>
        </w:rPr>
        <w:t xml:space="preserve"> </w:t>
      </w:r>
      <w:r w:rsidRPr="00051892">
        <w:rPr>
          <w:i/>
          <w:iCs/>
          <w:color w:val="000000" w:themeColor="text1"/>
          <w:sz w:val="16"/>
          <w:szCs w:val="16"/>
        </w:rPr>
        <w:t>https://www.thecgo.org/research/can-sanctuary-policies-reduce-domestic-violence</w:t>
      </w:r>
      <w:r w:rsidRPr="00051892">
        <w:rPr>
          <w:color w:val="000000" w:themeColor="text1"/>
        </w:rPr>
        <w:t xml:space="preserve"> </w:t>
      </w:r>
    </w:p>
  </w:footnote>
  <w:footnote w:id="10">
    <w:p w:rsidR="00A424DD" w:rsidRPr="00051892" w:rsidRDefault="00A424DD">
      <w:pPr>
        <w:pStyle w:val="FootnoteText"/>
        <w:rPr>
          <w:i/>
          <w:iCs/>
          <w:sz w:val="16"/>
          <w:szCs w:val="16"/>
        </w:rPr>
      </w:pPr>
      <w:r w:rsidRPr="00051892">
        <w:rPr>
          <w:rStyle w:val="FootnoteReference"/>
          <w:i/>
          <w:iCs/>
        </w:rPr>
        <w:footnoteRef/>
      </w:r>
      <w:r w:rsidRPr="00051892">
        <w:rPr>
          <w:i/>
          <w:iCs/>
        </w:rPr>
        <w:t xml:space="preserve"> </w:t>
      </w:r>
      <w:r w:rsidRPr="00051892">
        <w:rPr>
          <w:i/>
          <w:iCs/>
          <w:sz w:val="16"/>
          <w:szCs w:val="16"/>
        </w:rPr>
        <w:t>https://www.americanprogress.org/article/the-effects-of-sanctuary-policies-on-crime-and-the-economy/</w:t>
      </w:r>
    </w:p>
  </w:footnote>
  <w:footnote w:id="11">
    <w:p w:rsidR="00A424DD" w:rsidRPr="00051892" w:rsidRDefault="00A424DD">
      <w:pPr>
        <w:pStyle w:val="FootnoteText"/>
        <w:rPr>
          <w:sz w:val="16"/>
          <w:szCs w:val="16"/>
        </w:rPr>
      </w:pPr>
      <w:r w:rsidRPr="00051892">
        <w:rPr>
          <w:rStyle w:val="FootnoteReference"/>
          <w:sz w:val="16"/>
          <w:szCs w:val="16"/>
        </w:rPr>
        <w:footnoteRef/>
      </w:r>
      <w:r w:rsidRPr="00051892">
        <w:rPr>
          <w:sz w:val="16"/>
          <w:szCs w:val="16"/>
        </w:rPr>
        <w:t xml:space="preserve"> </w:t>
      </w:r>
      <w:r w:rsidR="001474D1" w:rsidRPr="00051892">
        <w:rPr>
          <w:sz w:val="16"/>
          <w:szCs w:val="16"/>
        </w:rPr>
        <w:t>Ibid., 8.</w:t>
      </w:r>
    </w:p>
  </w:footnote>
  <w:footnote w:id="12">
    <w:p w:rsidR="001474D1" w:rsidRPr="00051892" w:rsidRDefault="001474D1">
      <w:pPr>
        <w:pStyle w:val="FootnoteText"/>
        <w:rPr>
          <w:sz w:val="16"/>
          <w:szCs w:val="16"/>
        </w:rPr>
      </w:pPr>
      <w:r w:rsidRPr="00051892">
        <w:rPr>
          <w:rStyle w:val="FootnoteReference"/>
          <w:sz w:val="16"/>
          <w:szCs w:val="16"/>
        </w:rPr>
        <w:footnoteRef/>
      </w:r>
      <w:r w:rsidRPr="00051892">
        <w:rPr>
          <w:sz w:val="16"/>
          <w:szCs w:val="16"/>
        </w:rPr>
        <w:t xml:space="preserve"> </w:t>
      </w:r>
      <w:r w:rsidRPr="00051892">
        <w:rPr>
          <w:sz w:val="16"/>
          <w:szCs w:val="16"/>
        </w:rPr>
        <w:t>Ibid.</w:t>
      </w:r>
    </w:p>
  </w:footnote>
  <w:footnote w:id="13">
    <w:p w:rsidR="001474D1" w:rsidRPr="00051892" w:rsidRDefault="001474D1">
      <w:pPr>
        <w:pStyle w:val="FootnoteText"/>
        <w:rPr>
          <w:sz w:val="16"/>
          <w:szCs w:val="16"/>
        </w:rPr>
      </w:pPr>
      <w:r w:rsidRPr="00051892">
        <w:rPr>
          <w:rStyle w:val="FootnoteReference"/>
          <w:sz w:val="16"/>
          <w:szCs w:val="16"/>
        </w:rPr>
        <w:footnoteRef/>
      </w:r>
      <w:r w:rsidRPr="00051892">
        <w:rPr>
          <w:sz w:val="16"/>
          <w:szCs w:val="16"/>
        </w:rPr>
        <w:t xml:space="preserve"> </w:t>
      </w:r>
      <w:r w:rsidRPr="00051892">
        <w:rPr>
          <w:sz w:val="16"/>
          <w:szCs w:val="16"/>
        </w:rPr>
        <w:t>Ibid., 8-9.</w:t>
      </w:r>
    </w:p>
  </w:footnote>
  <w:footnote w:id="14">
    <w:p w:rsidR="001474D1" w:rsidRPr="00051892" w:rsidRDefault="001474D1">
      <w:pPr>
        <w:pStyle w:val="FootnoteText"/>
        <w:rPr>
          <w:sz w:val="16"/>
          <w:szCs w:val="16"/>
        </w:rPr>
      </w:pPr>
      <w:r w:rsidRPr="00051892">
        <w:rPr>
          <w:rStyle w:val="FootnoteReference"/>
          <w:sz w:val="16"/>
          <w:szCs w:val="16"/>
        </w:rPr>
        <w:footnoteRef/>
      </w:r>
      <w:r w:rsidRPr="00051892">
        <w:rPr>
          <w:sz w:val="16"/>
          <w:szCs w:val="16"/>
        </w:rPr>
        <w:t xml:space="preserve"> </w:t>
      </w:r>
      <w:r w:rsidRPr="00051892">
        <w:rPr>
          <w:sz w:val="16"/>
          <w:szCs w:val="16"/>
        </w:rPr>
        <w:t>Ibid, 9.</w:t>
      </w:r>
    </w:p>
  </w:footnote>
  <w:footnote w:id="15">
    <w:p w:rsidR="001474D1" w:rsidRPr="00051892" w:rsidRDefault="001474D1">
      <w:pPr>
        <w:pStyle w:val="FootnoteText"/>
        <w:rPr>
          <w:sz w:val="16"/>
          <w:szCs w:val="16"/>
        </w:rPr>
      </w:pPr>
      <w:r w:rsidRPr="00051892">
        <w:rPr>
          <w:rStyle w:val="FootnoteReference"/>
          <w:sz w:val="16"/>
          <w:szCs w:val="16"/>
        </w:rPr>
        <w:footnoteRef/>
      </w:r>
      <w:r w:rsidRPr="00051892">
        <w:rPr>
          <w:sz w:val="16"/>
          <w:szCs w:val="16"/>
        </w:rPr>
        <w:t xml:space="preserve"> </w:t>
      </w:r>
      <w:r w:rsidRPr="00051892">
        <w:rPr>
          <w:sz w:val="16"/>
          <w:szCs w:val="16"/>
        </w:rPr>
        <w:t>Ibid, 10.</w:t>
      </w:r>
    </w:p>
  </w:footnote>
  <w:footnote w:id="16">
    <w:p w:rsidR="001474D1" w:rsidRPr="00051892" w:rsidRDefault="001474D1">
      <w:pPr>
        <w:pStyle w:val="FootnoteText"/>
        <w:rPr>
          <w:sz w:val="16"/>
          <w:szCs w:val="16"/>
        </w:rPr>
      </w:pPr>
      <w:r w:rsidRPr="00051892">
        <w:rPr>
          <w:rStyle w:val="FootnoteReference"/>
          <w:sz w:val="16"/>
          <w:szCs w:val="16"/>
        </w:rPr>
        <w:footnoteRef/>
      </w:r>
      <w:r w:rsidRPr="00051892">
        <w:rPr>
          <w:sz w:val="16"/>
          <w:szCs w:val="16"/>
        </w:rPr>
        <w:t xml:space="preserve"> </w:t>
      </w:r>
      <w:r w:rsidRPr="00051892">
        <w:rPr>
          <w:sz w:val="16"/>
          <w:szCs w:val="16"/>
        </w:rPr>
        <w:t>Doris Provine, et al., Policing Immigrants, 76.</w:t>
      </w:r>
    </w:p>
  </w:footnote>
  <w:footnote w:id="17">
    <w:p w:rsidR="00F21CC3" w:rsidRPr="00051892" w:rsidRDefault="00F21CC3">
      <w:pPr>
        <w:pStyle w:val="FootnoteText"/>
        <w:rPr>
          <w:i/>
          <w:iCs/>
          <w:sz w:val="16"/>
          <w:szCs w:val="16"/>
        </w:rPr>
      </w:pPr>
      <w:r w:rsidRPr="00051892">
        <w:rPr>
          <w:rStyle w:val="FootnoteReference"/>
          <w:i/>
          <w:iCs/>
          <w:sz w:val="16"/>
          <w:szCs w:val="16"/>
        </w:rPr>
        <w:footnoteRef/>
      </w:r>
      <w:r w:rsidRPr="00051892">
        <w:rPr>
          <w:i/>
          <w:iCs/>
          <w:sz w:val="16"/>
          <w:szCs w:val="16"/>
        </w:rPr>
        <w:t xml:space="preserve"> </w:t>
      </w:r>
      <w:r w:rsidRPr="00051892">
        <w:rPr>
          <w:i/>
          <w:iCs/>
          <w:sz w:val="16"/>
          <w:szCs w:val="16"/>
        </w:rPr>
        <w:t xml:space="preserve">Arizona v. United States, 132 </w:t>
      </w:r>
      <w:proofErr w:type="spellStart"/>
      <w:r w:rsidRPr="00051892">
        <w:rPr>
          <w:i/>
          <w:iCs/>
          <w:sz w:val="16"/>
          <w:szCs w:val="16"/>
        </w:rPr>
        <w:t>S.Ct</w:t>
      </w:r>
      <w:proofErr w:type="spellEnd"/>
      <w:r w:rsidRPr="00051892">
        <w:rPr>
          <w:i/>
          <w:iCs/>
          <w:sz w:val="16"/>
          <w:szCs w:val="16"/>
        </w:rPr>
        <w:t>. 2492 (2012)</w:t>
      </w:r>
    </w:p>
  </w:footnote>
  <w:footnote w:id="18">
    <w:p w:rsidR="00F21CC3" w:rsidRPr="00051892" w:rsidRDefault="00F21CC3">
      <w:pPr>
        <w:pStyle w:val="FootnoteText"/>
        <w:rPr>
          <w:i/>
          <w:iCs/>
          <w:sz w:val="16"/>
          <w:szCs w:val="16"/>
        </w:rPr>
      </w:pPr>
      <w:r w:rsidRPr="00051892">
        <w:rPr>
          <w:rStyle w:val="FootnoteReference"/>
          <w:i/>
          <w:iCs/>
          <w:sz w:val="16"/>
          <w:szCs w:val="16"/>
        </w:rPr>
        <w:footnoteRef/>
      </w:r>
      <w:r w:rsidRPr="00051892">
        <w:rPr>
          <w:i/>
          <w:iCs/>
          <w:sz w:val="16"/>
          <w:szCs w:val="16"/>
        </w:rPr>
        <w:t xml:space="preserve"> </w:t>
      </w:r>
      <w:r w:rsidRPr="00051892">
        <w:rPr>
          <w:i/>
          <w:iCs/>
          <w:sz w:val="16"/>
          <w:szCs w:val="16"/>
        </w:rPr>
        <w:t>Printz v. United States, 521 U.S. 898, 923-24 (1997).</w:t>
      </w:r>
    </w:p>
  </w:footnote>
  <w:footnote w:id="19">
    <w:p w:rsidR="00F21CC3" w:rsidRPr="00051892" w:rsidRDefault="00F21CC3">
      <w:pPr>
        <w:pStyle w:val="FootnoteText"/>
        <w:rPr>
          <w:i/>
          <w:iCs/>
          <w:sz w:val="16"/>
          <w:szCs w:val="16"/>
        </w:rPr>
      </w:pPr>
      <w:r w:rsidRPr="00051892">
        <w:rPr>
          <w:rStyle w:val="FootnoteReference"/>
          <w:i/>
          <w:iCs/>
          <w:sz w:val="16"/>
          <w:szCs w:val="16"/>
        </w:rPr>
        <w:footnoteRef/>
      </w:r>
      <w:r w:rsidRPr="00051892">
        <w:rPr>
          <w:i/>
          <w:iCs/>
          <w:sz w:val="16"/>
          <w:szCs w:val="16"/>
        </w:rPr>
        <w:t xml:space="preserve"> </w:t>
      </w:r>
      <w:r w:rsidR="0008759C" w:rsidRPr="00051892">
        <w:rPr>
          <w:i/>
          <w:iCs/>
          <w:sz w:val="16"/>
          <w:szCs w:val="16"/>
        </w:rPr>
        <w:t xml:space="preserve">Galarza v. </w:t>
      </w:r>
      <w:proofErr w:type="spellStart"/>
      <w:r w:rsidR="0008759C" w:rsidRPr="00051892">
        <w:rPr>
          <w:i/>
          <w:iCs/>
          <w:sz w:val="16"/>
          <w:szCs w:val="16"/>
        </w:rPr>
        <w:t>Szalczyk</w:t>
      </w:r>
      <w:proofErr w:type="spellEnd"/>
      <w:r w:rsidR="0008759C" w:rsidRPr="00051892">
        <w:rPr>
          <w:i/>
          <w:iCs/>
          <w:sz w:val="16"/>
          <w:szCs w:val="16"/>
        </w:rPr>
        <w:t>, 745 F.3d 634, 645 (3d Cir. 2014)</w:t>
      </w:r>
    </w:p>
  </w:footnote>
  <w:footnote w:id="20">
    <w:p w:rsidR="0008759C" w:rsidRDefault="0008759C">
      <w:pPr>
        <w:pStyle w:val="FootnoteText"/>
      </w:pPr>
      <w:r w:rsidRPr="00051892">
        <w:rPr>
          <w:rStyle w:val="FootnoteReference"/>
          <w:i/>
          <w:iCs/>
          <w:sz w:val="16"/>
          <w:szCs w:val="16"/>
        </w:rPr>
        <w:footnoteRef/>
      </w:r>
      <w:r w:rsidRPr="00051892">
        <w:rPr>
          <w:i/>
          <w:iCs/>
          <w:sz w:val="16"/>
          <w:szCs w:val="16"/>
        </w:rPr>
        <w:t xml:space="preserve"> </w:t>
      </w:r>
      <w:r w:rsidRPr="00051892">
        <w:rPr>
          <w:i/>
          <w:iCs/>
          <w:sz w:val="16"/>
          <w:szCs w:val="16"/>
        </w:rPr>
        <w:t>Miranda-Olivares v. Clackamas County, No. 3:12-cv-02317-ST, 2014 WL 1414305 (</w:t>
      </w:r>
      <w:proofErr w:type="spellStart"/>
      <w:r w:rsidRPr="00051892">
        <w:rPr>
          <w:i/>
          <w:iCs/>
          <w:sz w:val="16"/>
          <w:szCs w:val="16"/>
        </w:rPr>
        <w:t>D.Or</w:t>
      </w:r>
      <w:proofErr w:type="spellEnd"/>
      <w:r w:rsidRPr="00051892">
        <w:rPr>
          <w:i/>
          <w:iCs/>
          <w:sz w:val="16"/>
          <w:szCs w:val="16"/>
        </w:rPr>
        <w:t>. April 11, 2014); Jimenez-Moreno v. Napolitano, No. 1:11- cv-05452, Docket Entry 230 at 16-17 (N.D. Ill. Sept. 30, 2016); Morales v. Chadbourne, 996 F. Supp. 2d 19 (D.R.I. 2014) aff’d in part,</w:t>
      </w:r>
      <w:r w:rsidRPr="0008759C">
        <w:rPr>
          <w:i/>
          <w:iCs/>
          <w:sz w:val="16"/>
          <w:szCs w:val="16"/>
        </w:rPr>
        <w:t xml:space="preserve"> dismissed in part, 793 F.3d 208, 215-216 (1st Cir. 2015); Mercado et al. v. Dallas County, No. 3:15-CV-3481 (</w:t>
      </w:r>
      <w:proofErr w:type="spellStart"/>
      <w:r w:rsidRPr="0008759C">
        <w:rPr>
          <w:i/>
          <w:iCs/>
          <w:sz w:val="16"/>
          <w:szCs w:val="16"/>
        </w:rPr>
        <w:t>N.D.Tex</w:t>
      </w:r>
      <w:proofErr w:type="spellEnd"/>
      <w:r w:rsidRPr="0008759C">
        <w:rPr>
          <w:i/>
          <w:iCs/>
          <w:sz w:val="16"/>
          <w:szCs w:val="16"/>
        </w:rPr>
        <w:t xml:space="preserve"> filed Jan. 17, 2017); Orellana v. Nobles County, No. 0:15-cv-03852 (D. Minn. Jan. 6,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41028"/>
    <w:multiLevelType w:val="hybridMultilevel"/>
    <w:tmpl w:val="BD6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9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C3"/>
    <w:rsid w:val="00051892"/>
    <w:rsid w:val="0008759C"/>
    <w:rsid w:val="001474D1"/>
    <w:rsid w:val="008C388C"/>
    <w:rsid w:val="00A424DD"/>
    <w:rsid w:val="00BA048D"/>
    <w:rsid w:val="00F21CC3"/>
    <w:rsid w:val="00FF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07405"/>
  <w15:chartTrackingRefBased/>
  <w15:docId w15:val="{6728D4A6-6BF8-6F4D-81B2-8D04A6F5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1C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C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C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C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1C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C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C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CC3"/>
    <w:rPr>
      <w:rFonts w:eastAsiaTheme="majorEastAsia" w:cstheme="majorBidi"/>
      <w:color w:val="272727" w:themeColor="text1" w:themeTint="D8"/>
    </w:rPr>
  </w:style>
  <w:style w:type="paragraph" w:styleId="Title">
    <w:name w:val="Title"/>
    <w:basedOn w:val="Normal"/>
    <w:next w:val="Normal"/>
    <w:link w:val="TitleChar"/>
    <w:uiPriority w:val="10"/>
    <w:qFormat/>
    <w:rsid w:val="00F21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CC3"/>
    <w:pPr>
      <w:spacing w:before="160"/>
      <w:jc w:val="center"/>
    </w:pPr>
    <w:rPr>
      <w:i/>
      <w:iCs/>
      <w:color w:val="404040" w:themeColor="text1" w:themeTint="BF"/>
    </w:rPr>
  </w:style>
  <w:style w:type="character" w:customStyle="1" w:styleId="QuoteChar">
    <w:name w:val="Quote Char"/>
    <w:basedOn w:val="DefaultParagraphFont"/>
    <w:link w:val="Quote"/>
    <w:uiPriority w:val="29"/>
    <w:rsid w:val="00F21CC3"/>
    <w:rPr>
      <w:i/>
      <w:iCs/>
      <w:color w:val="404040" w:themeColor="text1" w:themeTint="BF"/>
    </w:rPr>
  </w:style>
  <w:style w:type="paragraph" w:styleId="ListParagraph">
    <w:name w:val="List Paragraph"/>
    <w:basedOn w:val="Normal"/>
    <w:uiPriority w:val="34"/>
    <w:qFormat/>
    <w:rsid w:val="00F21CC3"/>
    <w:pPr>
      <w:ind w:left="720"/>
      <w:contextualSpacing/>
    </w:pPr>
  </w:style>
  <w:style w:type="character" w:styleId="IntenseEmphasis">
    <w:name w:val="Intense Emphasis"/>
    <w:basedOn w:val="DefaultParagraphFont"/>
    <w:uiPriority w:val="21"/>
    <w:qFormat/>
    <w:rsid w:val="00F21CC3"/>
    <w:rPr>
      <w:i/>
      <w:iCs/>
      <w:color w:val="2F5496" w:themeColor="accent1" w:themeShade="BF"/>
    </w:rPr>
  </w:style>
  <w:style w:type="paragraph" w:styleId="IntenseQuote">
    <w:name w:val="Intense Quote"/>
    <w:basedOn w:val="Normal"/>
    <w:next w:val="Normal"/>
    <w:link w:val="IntenseQuoteChar"/>
    <w:uiPriority w:val="30"/>
    <w:qFormat/>
    <w:rsid w:val="00F2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CC3"/>
    <w:rPr>
      <w:i/>
      <w:iCs/>
      <w:color w:val="2F5496" w:themeColor="accent1" w:themeShade="BF"/>
    </w:rPr>
  </w:style>
  <w:style w:type="character" w:styleId="IntenseReference">
    <w:name w:val="Intense Reference"/>
    <w:basedOn w:val="DefaultParagraphFont"/>
    <w:uiPriority w:val="32"/>
    <w:qFormat/>
    <w:rsid w:val="00F21CC3"/>
    <w:rPr>
      <w:b/>
      <w:bCs/>
      <w:smallCaps/>
      <w:color w:val="2F5496" w:themeColor="accent1" w:themeShade="BF"/>
      <w:spacing w:val="5"/>
    </w:rPr>
  </w:style>
  <w:style w:type="paragraph" w:styleId="NormalWeb">
    <w:name w:val="Normal (Web)"/>
    <w:basedOn w:val="Normal"/>
    <w:uiPriority w:val="99"/>
    <w:semiHidden/>
    <w:unhideWhenUsed/>
    <w:rsid w:val="00F21CC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21CC3"/>
    <w:rPr>
      <w:b/>
      <w:bCs/>
    </w:rPr>
  </w:style>
  <w:style w:type="paragraph" w:styleId="FootnoteText">
    <w:name w:val="footnote text"/>
    <w:basedOn w:val="Normal"/>
    <w:link w:val="FootnoteTextChar"/>
    <w:uiPriority w:val="99"/>
    <w:semiHidden/>
    <w:unhideWhenUsed/>
    <w:rsid w:val="00F21C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CC3"/>
    <w:rPr>
      <w:sz w:val="20"/>
      <w:szCs w:val="20"/>
    </w:rPr>
  </w:style>
  <w:style w:type="character" w:styleId="FootnoteReference">
    <w:name w:val="footnote reference"/>
    <w:basedOn w:val="DefaultParagraphFont"/>
    <w:uiPriority w:val="99"/>
    <w:semiHidden/>
    <w:unhideWhenUsed/>
    <w:rsid w:val="00F21CC3"/>
    <w:rPr>
      <w:vertAlign w:val="superscript"/>
    </w:rPr>
  </w:style>
  <w:style w:type="character" w:styleId="Hyperlink">
    <w:name w:val="Hyperlink"/>
    <w:basedOn w:val="DefaultParagraphFont"/>
    <w:uiPriority w:val="99"/>
    <w:unhideWhenUsed/>
    <w:rsid w:val="00BA048D"/>
    <w:rPr>
      <w:color w:val="0563C1" w:themeColor="hyperlink"/>
      <w:u w:val="single"/>
    </w:rPr>
  </w:style>
  <w:style w:type="character" w:styleId="UnresolvedMention">
    <w:name w:val="Unresolved Mention"/>
    <w:basedOn w:val="DefaultParagraphFont"/>
    <w:uiPriority w:val="99"/>
    <w:semiHidden/>
    <w:unhideWhenUsed/>
    <w:rsid w:val="00BA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42903">
      <w:bodyDiv w:val="1"/>
      <w:marLeft w:val="0"/>
      <w:marRight w:val="0"/>
      <w:marTop w:val="0"/>
      <w:marBottom w:val="0"/>
      <w:divBdr>
        <w:top w:val="none" w:sz="0" w:space="0" w:color="auto"/>
        <w:left w:val="none" w:sz="0" w:space="0" w:color="auto"/>
        <w:bottom w:val="none" w:sz="0" w:space="0" w:color="auto"/>
        <w:right w:val="none" w:sz="0" w:space="0" w:color="auto"/>
      </w:divBdr>
    </w:div>
    <w:div w:id="1343125842">
      <w:bodyDiv w:val="1"/>
      <w:marLeft w:val="0"/>
      <w:marRight w:val="0"/>
      <w:marTop w:val="0"/>
      <w:marBottom w:val="0"/>
      <w:divBdr>
        <w:top w:val="none" w:sz="0" w:space="0" w:color="auto"/>
        <w:left w:val="none" w:sz="0" w:space="0" w:color="auto"/>
        <w:bottom w:val="none" w:sz="0" w:space="0" w:color="auto"/>
        <w:right w:val="none" w:sz="0" w:space="0" w:color="auto"/>
      </w:divBdr>
    </w:div>
    <w:div w:id="16813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www.cato.org/blog/sanctuary-jurisdictionsflorida-do-not-have-higher-crime-rates" TargetMode="External"/><Relationship Id="rId1" Type="http://schemas.openxmlformats.org/officeDocument/2006/relationships/hyperlink" Target="https://sociology.unc.edu/files/2018/01/2017SocComp-ProvidingSanctuary-or-Fostering-Crime-A-Review-of-the-Research-on-Sanctuary-Cities-and-Cri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14B697F185C4DAB171CCA11FC1E77" ma:contentTypeVersion="11" ma:contentTypeDescription="Create a new document." ma:contentTypeScope="" ma:versionID="b8ab3338413f1114a5114e98103a4086">
  <xsd:schema xmlns:xsd="http://www.w3.org/2001/XMLSchema" xmlns:xs="http://www.w3.org/2001/XMLSchema" xmlns:p="http://schemas.microsoft.com/office/2006/metadata/properties" xmlns:ns2="daf00617-9be4-4367-8c54-4d8e94c5c2b3" xmlns:ns3="202422e8-828e-4fd6-b597-6e2ea03406e1" targetNamespace="http://schemas.microsoft.com/office/2006/metadata/properties" ma:root="true" ma:fieldsID="2762f452076dae45256681cc5d27384c" ns2:_="" ns3:_="">
    <xsd:import namespace="daf00617-9be4-4367-8c54-4d8e94c5c2b3"/>
    <xsd:import namespace="202422e8-828e-4fd6-b597-6e2ea03406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00617-9be4-4367-8c54-4d8e94c5c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29c3b0-599e-441b-81e3-99fdd0d9ca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422e8-828e-4fd6-b597-6e2ea0340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45d82-4301-4f13-8609-1e1b311818b4}" ma:internalName="TaxCatchAll" ma:showField="CatchAllData" ma:web="202422e8-828e-4fd6-b597-6e2ea0340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f00617-9be4-4367-8c54-4d8e94c5c2b3">
      <Terms xmlns="http://schemas.microsoft.com/office/infopath/2007/PartnerControls"/>
    </lcf76f155ced4ddcb4097134ff3c332f>
    <TaxCatchAll xmlns="202422e8-828e-4fd6-b597-6e2ea03406e1" xsi:nil="true"/>
  </documentManagement>
</p:properties>
</file>

<file path=customXml/itemProps1.xml><?xml version="1.0" encoding="utf-8"?>
<ds:datastoreItem xmlns:ds="http://schemas.openxmlformats.org/officeDocument/2006/customXml" ds:itemID="{408B9D0B-C2CF-42B4-957E-3FFB1801BD6E}"/>
</file>

<file path=customXml/itemProps2.xml><?xml version="1.0" encoding="utf-8"?>
<ds:datastoreItem xmlns:ds="http://schemas.openxmlformats.org/officeDocument/2006/customXml" ds:itemID="{960A413F-9521-43D7-BFF4-423E10538B06}"/>
</file>

<file path=customXml/itemProps3.xml><?xml version="1.0" encoding="utf-8"?>
<ds:datastoreItem xmlns:ds="http://schemas.openxmlformats.org/officeDocument/2006/customXml" ds:itemID="{17A93F87-D7D4-4833-99C8-1C8D3DDDA57A}"/>
</file>

<file path=docProps/app.xml><?xml version="1.0" encoding="utf-8"?>
<Properties xmlns="http://schemas.openxmlformats.org/officeDocument/2006/extended-properties" xmlns:vt="http://schemas.openxmlformats.org/officeDocument/2006/docPropsVTypes">
  <Template>Normal.dotm</Template>
  <TotalTime>36</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Lou Cuesta</dc:creator>
  <cp:keywords/>
  <dc:description/>
  <cp:lastModifiedBy>Cindy Lou Cuesta</cp:lastModifiedBy>
  <cp:revision>1</cp:revision>
  <dcterms:created xsi:type="dcterms:W3CDTF">2025-01-23T14:23:00Z</dcterms:created>
  <dcterms:modified xsi:type="dcterms:W3CDTF">2025-01-23T15:21:00Z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0x01010087D14B697F185C4DAB171CCA11FC1E77</vt:lpwstr>
  </property>
</Properties>
</file>